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40517" w14:textId="0A2A23B6" w:rsidR="00F84A91" w:rsidRPr="00DC6DB9" w:rsidRDefault="00F84A91" w:rsidP="00F84A91">
      <w:pPr>
        <w:pStyle w:val="Title"/>
        <w:spacing w:before="120" w:after="120"/>
        <w:rPr>
          <w:rFonts w:ascii="Arial" w:hAnsi="Arial"/>
          <w:sz w:val="20"/>
          <w:szCs w:val="20"/>
        </w:rPr>
      </w:pPr>
      <w:r w:rsidRPr="00DC6DB9">
        <w:rPr>
          <w:rFonts w:ascii="Arial" w:hAnsi="Arial"/>
          <w:sz w:val="20"/>
          <w:szCs w:val="20"/>
        </w:rPr>
        <w:t>A</w:t>
      </w:r>
      <w:r w:rsidR="001E7C87">
        <w:rPr>
          <w:rFonts w:ascii="Arial" w:hAnsi="Arial"/>
          <w:sz w:val="20"/>
          <w:szCs w:val="20"/>
        </w:rPr>
        <w:t>ktsiaselts</w:t>
      </w:r>
      <w:r w:rsidRPr="00DC6DB9">
        <w:rPr>
          <w:rFonts w:ascii="Arial" w:hAnsi="Arial"/>
          <w:sz w:val="20"/>
          <w:szCs w:val="20"/>
        </w:rPr>
        <w:t xml:space="preserve"> </w:t>
      </w:r>
      <w:proofErr w:type="spellStart"/>
      <w:r w:rsidRPr="00DC6DB9">
        <w:rPr>
          <w:rFonts w:ascii="Arial" w:hAnsi="Arial"/>
          <w:sz w:val="20"/>
          <w:szCs w:val="20"/>
        </w:rPr>
        <w:t>Infortar</w:t>
      </w:r>
      <w:proofErr w:type="spellEnd"/>
    </w:p>
    <w:p w14:paraId="1F6422D1" w14:textId="77777777" w:rsidR="00F84A91" w:rsidRPr="00DC6DB9" w:rsidRDefault="00F84A91" w:rsidP="00F84A91">
      <w:pPr>
        <w:pStyle w:val="Title"/>
        <w:spacing w:before="120" w:after="120"/>
        <w:rPr>
          <w:rFonts w:ascii="Arial" w:hAnsi="Arial"/>
          <w:sz w:val="20"/>
          <w:szCs w:val="20"/>
        </w:rPr>
      </w:pPr>
      <w:r w:rsidRPr="00DC6DB9">
        <w:rPr>
          <w:rFonts w:ascii="Arial" w:hAnsi="Arial"/>
          <w:sz w:val="20"/>
          <w:szCs w:val="20"/>
        </w:rPr>
        <w:t>PÕHIKIRI</w:t>
      </w:r>
    </w:p>
    <w:p w14:paraId="5F986F23" w14:textId="77777777" w:rsidR="00F84A91" w:rsidRPr="00DC6DB9" w:rsidRDefault="00F84A91" w:rsidP="00F84A91">
      <w:pPr>
        <w:pStyle w:val="Heading1"/>
        <w:tabs>
          <w:tab w:val="clear" w:pos="709"/>
          <w:tab w:val="num" w:pos="567"/>
        </w:tabs>
        <w:rPr>
          <w:rFonts w:ascii="Arial" w:hAnsi="Arial" w:cs="Arial"/>
          <w:sz w:val="20"/>
          <w:szCs w:val="20"/>
        </w:rPr>
      </w:pPr>
      <w:bookmarkStart w:id="0" w:name="_Toc177293184"/>
      <w:bookmarkStart w:id="1" w:name="_Toc177293984"/>
      <w:bookmarkStart w:id="2" w:name="_Toc177294215"/>
      <w:bookmarkStart w:id="3" w:name="_Toc178043269"/>
      <w:bookmarkStart w:id="4" w:name="_Toc179290094"/>
      <w:bookmarkStart w:id="5" w:name="_Toc196300856"/>
      <w:r w:rsidRPr="00DC6DB9">
        <w:rPr>
          <w:rFonts w:ascii="Arial" w:hAnsi="Arial" w:cs="Arial"/>
          <w:sz w:val="20"/>
          <w:szCs w:val="20"/>
        </w:rPr>
        <w:t>ÄRINIMI JA ASUKOHT</w:t>
      </w:r>
    </w:p>
    <w:p w14:paraId="75EC68EE"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Ärinimi</w:t>
      </w:r>
    </w:p>
    <w:p w14:paraId="09825CCA" w14:textId="24C208C4" w:rsidR="00F84A91" w:rsidRPr="00DC6DB9" w:rsidRDefault="00F84A91" w:rsidP="00F84A91">
      <w:pPr>
        <w:pStyle w:val="Section11textRP"/>
        <w:rPr>
          <w:rFonts w:ascii="Arial" w:hAnsi="Arial" w:cs="Arial"/>
          <w:sz w:val="20"/>
          <w:szCs w:val="20"/>
        </w:rPr>
      </w:pPr>
      <w:r w:rsidRPr="00DC6DB9">
        <w:rPr>
          <w:rFonts w:ascii="Arial" w:hAnsi="Arial" w:cs="Arial"/>
          <w:sz w:val="20"/>
          <w:szCs w:val="20"/>
        </w:rPr>
        <w:t>Aktsiaseltsi (edaspidi „</w:t>
      </w:r>
      <w:r w:rsidRPr="00DC6DB9">
        <w:rPr>
          <w:rFonts w:ascii="Arial" w:hAnsi="Arial" w:cs="Arial"/>
          <w:b/>
          <w:sz w:val="20"/>
          <w:szCs w:val="20"/>
        </w:rPr>
        <w:t>selts</w:t>
      </w:r>
      <w:r w:rsidRPr="00DC6DB9">
        <w:rPr>
          <w:rFonts w:ascii="Arial" w:hAnsi="Arial" w:cs="Arial"/>
          <w:sz w:val="20"/>
          <w:szCs w:val="20"/>
        </w:rPr>
        <w:t>“) ärinimi on A</w:t>
      </w:r>
      <w:r w:rsidR="001E7C87">
        <w:rPr>
          <w:rFonts w:ascii="Arial" w:hAnsi="Arial" w:cs="Arial"/>
          <w:sz w:val="20"/>
          <w:szCs w:val="20"/>
        </w:rPr>
        <w:t>ktsiaselts</w:t>
      </w:r>
      <w:r w:rsidRPr="00DC6DB9">
        <w:rPr>
          <w:rFonts w:ascii="Arial" w:hAnsi="Arial" w:cs="Arial"/>
          <w:sz w:val="20"/>
          <w:szCs w:val="20"/>
        </w:rPr>
        <w:t xml:space="preserve"> </w:t>
      </w:r>
      <w:proofErr w:type="spellStart"/>
      <w:r w:rsidRPr="00DC6DB9">
        <w:rPr>
          <w:rFonts w:ascii="Arial" w:hAnsi="Arial" w:cs="Arial"/>
          <w:sz w:val="20"/>
          <w:szCs w:val="20"/>
        </w:rPr>
        <w:t>Infortar</w:t>
      </w:r>
      <w:proofErr w:type="spellEnd"/>
      <w:r w:rsidRPr="00DC6DB9">
        <w:rPr>
          <w:rFonts w:ascii="Arial" w:hAnsi="Arial" w:cs="Arial"/>
          <w:sz w:val="20"/>
          <w:szCs w:val="20"/>
        </w:rPr>
        <w:t>.</w:t>
      </w:r>
    </w:p>
    <w:p w14:paraId="692E5B44"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Asukoht</w:t>
      </w:r>
    </w:p>
    <w:p w14:paraId="32702E26" w14:textId="77777777" w:rsidR="00F84A91" w:rsidRPr="00DC6DB9" w:rsidRDefault="00F84A91" w:rsidP="00F84A91">
      <w:pPr>
        <w:pStyle w:val="Section11textRP"/>
        <w:rPr>
          <w:rFonts w:ascii="Arial" w:hAnsi="Arial" w:cs="Arial"/>
          <w:sz w:val="20"/>
          <w:szCs w:val="20"/>
        </w:rPr>
      </w:pPr>
      <w:r w:rsidRPr="00DC6DB9">
        <w:rPr>
          <w:rFonts w:ascii="Arial" w:hAnsi="Arial" w:cs="Arial"/>
          <w:sz w:val="20"/>
          <w:szCs w:val="20"/>
        </w:rPr>
        <w:t>Seltsi asukoht on Tallinn, Eesti Vabariik.</w:t>
      </w:r>
    </w:p>
    <w:p w14:paraId="14A7379B" w14:textId="77777777" w:rsidR="00F84A91" w:rsidRPr="00DC6DB9" w:rsidRDefault="00F84A91" w:rsidP="00F84A91">
      <w:pPr>
        <w:pStyle w:val="Heading1"/>
        <w:tabs>
          <w:tab w:val="clear" w:pos="709"/>
          <w:tab w:val="num" w:pos="567"/>
        </w:tabs>
        <w:rPr>
          <w:rFonts w:ascii="Arial" w:hAnsi="Arial" w:cs="Arial"/>
          <w:sz w:val="20"/>
          <w:szCs w:val="20"/>
        </w:rPr>
      </w:pPr>
      <w:r w:rsidRPr="00DC6DB9">
        <w:rPr>
          <w:rFonts w:ascii="Arial" w:hAnsi="Arial" w:cs="Arial"/>
          <w:sz w:val="20"/>
          <w:szCs w:val="20"/>
        </w:rPr>
        <w:t>AKTSIAKAPITAL JA AKTSIAD</w:t>
      </w:r>
    </w:p>
    <w:p w14:paraId="6E0CF9F1"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Aktsiakapitali suurus</w:t>
      </w:r>
    </w:p>
    <w:p w14:paraId="02DD7B14" w14:textId="29FE7954"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Seltsi miinimumaktsiakapital on üks miljon (1 000 000) eurot ja maksimumaktsiakapital neli miljoni</w:t>
      </w:r>
      <w:r w:rsidR="00FA6DAD">
        <w:rPr>
          <w:rFonts w:ascii="Arial" w:hAnsi="Arial" w:cs="Arial"/>
          <w:sz w:val="20"/>
          <w:szCs w:val="20"/>
        </w:rPr>
        <w:t>t</w:t>
      </w:r>
      <w:r w:rsidRPr="00DC6DB9">
        <w:rPr>
          <w:rFonts w:ascii="Arial" w:hAnsi="Arial" w:cs="Arial"/>
          <w:sz w:val="20"/>
          <w:szCs w:val="20"/>
        </w:rPr>
        <w:t xml:space="preserve"> (4 000 000) eurot. Miinimumaktsiakapitali ja maksimumaktsiakapitali piires võib seltsi aktsiakapitali suurendada ja vähendada käesolevat põhikirja muutmata.</w:t>
      </w:r>
    </w:p>
    <w:p w14:paraId="05C770BB" w14:textId="2DB400BE" w:rsidR="00F84A91" w:rsidRPr="00006B30" w:rsidRDefault="00006B30" w:rsidP="00F84A91">
      <w:pPr>
        <w:pStyle w:val="Heading3"/>
        <w:tabs>
          <w:tab w:val="clear" w:pos="371"/>
          <w:tab w:val="num" w:pos="1320"/>
        </w:tabs>
        <w:ind w:left="1321" w:hanging="720"/>
        <w:rPr>
          <w:rFonts w:ascii="Arial" w:hAnsi="Arial" w:cs="Arial"/>
          <w:sz w:val="20"/>
          <w:szCs w:val="20"/>
        </w:rPr>
      </w:pPr>
      <w:r w:rsidRPr="00006B30">
        <w:rPr>
          <w:rFonts w:ascii="Arial" w:hAnsi="Arial" w:cs="Arial"/>
          <w:sz w:val="20"/>
          <w:szCs w:val="20"/>
        </w:rPr>
        <w:t xml:space="preserve">Seltsi nõukogul on õigus kolme aasta jooksul alates </w:t>
      </w:r>
      <w:r w:rsidR="003B34A3">
        <w:rPr>
          <w:rFonts w:ascii="Arial" w:hAnsi="Arial" w:cs="Arial"/>
          <w:sz w:val="20"/>
          <w:szCs w:val="20"/>
        </w:rPr>
        <w:t>0</w:t>
      </w:r>
      <w:r w:rsidRPr="00006B30">
        <w:rPr>
          <w:rFonts w:ascii="Arial" w:hAnsi="Arial" w:cs="Arial"/>
          <w:sz w:val="20"/>
          <w:szCs w:val="20"/>
        </w:rPr>
        <w:t>1.07.2025 suurendada aktsiakapitali seaduses sätestatud korras sissemaksete tegemisega kuni 500 000 euro võrra.</w:t>
      </w:r>
    </w:p>
    <w:p w14:paraId="4F3C6DD5"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Aktsiad</w:t>
      </w:r>
    </w:p>
    <w:p w14:paraId="5C4E622E" w14:textId="68FE225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 xml:space="preserve">Seltsil on ühte liiki aktsiad. Iga aktsia nimiväärtus on </w:t>
      </w:r>
      <w:r w:rsidR="00FA6DAD">
        <w:rPr>
          <w:rFonts w:ascii="Arial" w:hAnsi="Arial" w:cs="Arial"/>
          <w:sz w:val="20"/>
          <w:szCs w:val="20"/>
        </w:rPr>
        <w:t>kümme (1</w:t>
      </w:r>
      <w:r w:rsidRPr="00DC6DB9">
        <w:rPr>
          <w:rFonts w:ascii="Arial" w:hAnsi="Arial" w:cs="Arial"/>
          <w:sz w:val="20"/>
          <w:szCs w:val="20"/>
        </w:rPr>
        <w:t xml:space="preserve">0) eurosenti. </w:t>
      </w:r>
    </w:p>
    <w:p w14:paraId="46195926" w14:textId="77777777" w:rsidR="00F84A91" w:rsidRPr="00DC6DB9" w:rsidRDefault="00F84A91" w:rsidP="00F84A91">
      <w:pPr>
        <w:pStyle w:val="Heading3"/>
        <w:tabs>
          <w:tab w:val="clear" w:pos="371"/>
          <w:tab w:val="num" w:pos="1320"/>
        </w:tabs>
        <w:ind w:left="1321" w:hanging="720"/>
        <w:rPr>
          <w:rFonts w:ascii="Arial" w:hAnsi="Arial" w:cs="Arial"/>
          <w:sz w:val="20"/>
          <w:szCs w:val="20"/>
        </w:rPr>
      </w:pPr>
      <w:bookmarkStart w:id="6" w:name="_Ref208744069"/>
      <w:r w:rsidRPr="00DC6DB9">
        <w:rPr>
          <w:rFonts w:ascii="Arial" w:hAnsi="Arial" w:cs="Arial"/>
          <w:sz w:val="20"/>
          <w:szCs w:val="20"/>
        </w:rPr>
        <w:t>Aktsia annab aktsionärile õiguse osaleda aktsionäride üldkoosolekul ning kasumi ja seltsi lõpetamisel allesjäänud vara jaotamisel, samuti muud seaduses ja põhikirjas ettenähtud õigused</w:t>
      </w:r>
      <w:bookmarkEnd w:id="6"/>
      <w:r w:rsidRPr="00DC6DB9">
        <w:rPr>
          <w:rFonts w:ascii="Arial" w:hAnsi="Arial" w:cs="Arial"/>
          <w:sz w:val="20"/>
          <w:szCs w:val="20"/>
        </w:rPr>
        <w:t>.</w:t>
      </w:r>
    </w:p>
    <w:p w14:paraId="557DE9DC" w14:textId="77777777" w:rsidR="00F84A91" w:rsidRPr="00DC6DB9" w:rsidRDefault="00F84A91" w:rsidP="00F84A91">
      <w:pPr>
        <w:pStyle w:val="Heading3"/>
        <w:tabs>
          <w:tab w:val="clear" w:pos="371"/>
          <w:tab w:val="num" w:pos="1320"/>
        </w:tabs>
        <w:ind w:left="1321" w:hanging="720"/>
        <w:rPr>
          <w:rFonts w:ascii="Arial" w:hAnsi="Arial" w:cs="Arial"/>
          <w:sz w:val="20"/>
          <w:szCs w:val="20"/>
        </w:rPr>
      </w:pPr>
      <w:bookmarkStart w:id="7" w:name="_Ref264791693"/>
      <w:r w:rsidRPr="00DC6DB9">
        <w:rPr>
          <w:rFonts w:ascii="Arial" w:hAnsi="Arial" w:cs="Arial"/>
          <w:sz w:val="20"/>
          <w:szCs w:val="20"/>
        </w:rPr>
        <w:t>Iga aktsia annab aktsionärile ühe hääle.</w:t>
      </w:r>
      <w:bookmarkEnd w:id="7"/>
    </w:p>
    <w:p w14:paraId="5A817BB4"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 xml:space="preserve">Aktsiad registreeritakse Eesti väärtpaberite registris. </w:t>
      </w:r>
    </w:p>
    <w:p w14:paraId="34739FFA" w14:textId="77777777" w:rsidR="00F84A91" w:rsidRPr="00DC6DB9" w:rsidRDefault="00F84A91" w:rsidP="00F84A91">
      <w:pPr>
        <w:pStyle w:val="Heading2"/>
        <w:tabs>
          <w:tab w:val="clear" w:pos="720"/>
          <w:tab w:val="num" w:pos="567"/>
        </w:tabs>
        <w:rPr>
          <w:rFonts w:ascii="Arial" w:hAnsi="Arial" w:cs="Arial"/>
          <w:sz w:val="20"/>
          <w:szCs w:val="20"/>
        </w:rPr>
      </w:pPr>
      <w:bookmarkStart w:id="8" w:name="_Toc198547043"/>
      <w:bookmarkStart w:id="9" w:name="_Toc199084251"/>
      <w:bookmarkStart w:id="10" w:name="_Toc199677290"/>
      <w:bookmarkStart w:id="11" w:name="_Toc201202765"/>
      <w:bookmarkStart w:id="12" w:name="_Toc201629975"/>
      <w:r w:rsidRPr="00DC6DB9">
        <w:rPr>
          <w:rFonts w:ascii="Arial" w:hAnsi="Arial" w:cs="Arial"/>
          <w:sz w:val="20"/>
          <w:szCs w:val="20"/>
        </w:rPr>
        <w:t>Vahetusvõlakirjad</w:t>
      </w:r>
    </w:p>
    <w:p w14:paraId="52CD0FC3" w14:textId="77777777" w:rsidR="00F84A91" w:rsidRPr="00DC6DB9" w:rsidRDefault="00F84A91" w:rsidP="00F84A91">
      <w:pPr>
        <w:pStyle w:val="Section11textRP"/>
        <w:rPr>
          <w:rFonts w:ascii="Arial" w:hAnsi="Arial" w:cs="Arial"/>
          <w:sz w:val="20"/>
          <w:szCs w:val="20"/>
        </w:rPr>
      </w:pPr>
      <w:r w:rsidRPr="00DC6DB9">
        <w:rPr>
          <w:rFonts w:ascii="Arial" w:hAnsi="Arial" w:cs="Arial"/>
          <w:sz w:val="20"/>
          <w:szCs w:val="20"/>
        </w:rPr>
        <w:t>Selts võib aktsionäride üldkoosoleku otsusel aktsiakapitali tingimuslikuks suurendamiseks lasta välja vahetusvõlakirju.</w:t>
      </w:r>
    </w:p>
    <w:p w14:paraId="1FE292CB"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Aktsiate eest tasumine</w:t>
      </w:r>
    </w:p>
    <w:p w14:paraId="52263F40" w14:textId="77777777" w:rsidR="00F84A91" w:rsidRPr="00DC6DB9" w:rsidRDefault="00F84A91" w:rsidP="00F84A91">
      <w:pPr>
        <w:pStyle w:val="Heading3"/>
        <w:tabs>
          <w:tab w:val="clear" w:pos="371"/>
          <w:tab w:val="num" w:pos="1320"/>
        </w:tabs>
        <w:ind w:left="1321" w:hanging="720"/>
        <w:rPr>
          <w:rFonts w:asciiTheme="minorBidi" w:hAnsiTheme="minorBidi" w:cstheme="minorBidi"/>
          <w:sz w:val="20"/>
          <w:szCs w:val="20"/>
        </w:rPr>
      </w:pPr>
      <w:r w:rsidRPr="00DC6DB9">
        <w:rPr>
          <w:rFonts w:asciiTheme="minorBidi" w:hAnsiTheme="minorBidi" w:cstheme="minorBidi"/>
          <w:sz w:val="20"/>
          <w:szCs w:val="20"/>
        </w:rPr>
        <w:t>Aktsia väljalaskehind ei või olla väiksem aktsia nimiväärtusest. Aktsia väljalaskehind võib olla suurem aktsia nimiväärtusest (ülekurss).</w:t>
      </w:r>
    </w:p>
    <w:p w14:paraId="20555B5C"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Aktsiate eest tasutakse rahas ja/või mitterahalise sissemaksega. Aktsia eest tasumise kord määratletakse seltsi aktsionäride üldkoosoleku otsusega.</w:t>
      </w:r>
    </w:p>
    <w:p w14:paraId="059E9B7D"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Mitterahalist sissemakset hindab seltsi juhatus. Kui mitterahaliseks sissemakseks oleva eseme hindamiseks on olemas üldiselt tunnustatud eksperdid, tuleb mitterahalise sissemakse ese lasta hinnata eksperdil. Mitterahalise sissemakse hindamist kontrollib audiitor, kes esitab ka kirjaliku arvamuse mitterahalise sissemakse väärtuse vastavuse kohta seaduses sätestatud nõuetele.</w:t>
      </w:r>
    </w:p>
    <w:p w14:paraId="30BFAD54" w14:textId="77777777" w:rsidR="00F84A91" w:rsidRPr="00DC6DB9" w:rsidRDefault="00F84A91" w:rsidP="00F84A91">
      <w:pPr>
        <w:pStyle w:val="Heading2"/>
        <w:tabs>
          <w:tab w:val="clear" w:pos="720"/>
          <w:tab w:val="num" w:pos="567"/>
        </w:tabs>
        <w:rPr>
          <w:rFonts w:asciiTheme="minorBidi" w:hAnsiTheme="minorBidi" w:cstheme="minorBidi"/>
          <w:sz w:val="20"/>
          <w:szCs w:val="20"/>
        </w:rPr>
      </w:pPr>
      <w:r w:rsidRPr="00DC6DB9">
        <w:rPr>
          <w:rFonts w:asciiTheme="minorBidi" w:hAnsiTheme="minorBidi" w:cstheme="minorBidi"/>
          <w:sz w:val="20"/>
          <w:szCs w:val="20"/>
        </w:rPr>
        <w:t xml:space="preserve">Aktsiate võõrandamine, koormamine ja pärimine </w:t>
      </w:r>
    </w:p>
    <w:p w14:paraId="44693BB8" w14:textId="77777777" w:rsidR="00F84A91" w:rsidRPr="00DC6DB9" w:rsidRDefault="00F84A91" w:rsidP="00F84A91">
      <w:pPr>
        <w:pStyle w:val="Heading3"/>
        <w:tabs>
          <w:tab w:val="clear" w:pos="371"/>
          <w:tab w:val="num" w:pos="1320"/>
        </w:tabs>
        <w:ind w:left="1321" w:hanging="720"/>
        <w:rPr>
          <w:rFonts w:asciiTheme="minorBidi" w:hAnsiTheme="minorBidi" w:cstheme="minorBidi"/>
          <w:sz w:val="20"/>
          <w:szCs w:val="20"/>
        </w:rPr>
      </w:pPr>
      <w:r w:rsidRPr="00DC6DB9">
        <w:rPr>
          <w:rFonts w:asciiTheme="minorBidi" w:hAnsiTheme="minorBidi" w:cstheme="minorBidi"/>
          <w:sz w:val="20"/>
          <w:szCs w:val="20"/>
        </w:rPr>
        <w:t xml:space="preserve">Seltsi aktsiad on vabalt võõrandatavad. </w:t>
      </w:r>
    </w:p>
    <w:p w14:paraId="1424D145" w14:textId="77777777" w:rsidR="00F84A91" w:rsidRPr="00DC6DB9" w:rsidRDefault="00F84A91" w:rsidP="00F84A91">
      <w:pPr>
        <w:pStyle w:val="Heading3"/>
        <w:tabs>
          <w:tab w:val="clear" w:pos="371"/>
          <w:tab w:val="num" w:pos="1320"/>
        </w:tabs>
        <w:ind w:left="1321" w:hanging="720"/>
        <w:rPr>
          <w:rFonts w:asciiTheme="minorBidi" w:hAnsiTheme="minorBidi" w:cstheme="minorBidi"/>
          <w:sz w:val="20"/>
          <w:szCs w:val="20"/>
        </w:rPr>
      </w:pPr>
      <w:r w:rsidRPr="00DC6DB9">
        <w:rPr>
          <w:rFonts w:asciiTheme="minorBidi" w:hAnsiTheme="minorBidi" w:cstheme="minorBidi"/>
          <w:sz w:val="20"/>
          <w:szCs w:val="20"/>
        </w:rPr>
        <w:t xml:space="preserve">Seltsi aktsiaid võib pantida seaduses sätestatud korras. </w:t>
      </w:r>
    </w:p>
    <w:p w14:paraId="637D0C38" w14:textId="77777777" w:rsidR="00F84A91" w:rsidRPr="00DC6DB9" w:rsidRDefault="00F84A91" w:rsidP="00F84A91">
      <w:pPr>
        <w:pStyle w:val="Heading3"/>
        <w:tabs>
          <w:tab w:val="clear" w:pos="371"/>
          <w:tab w:val="num" w:pos="1320"/>
        </w:tabs>
        <w:ind w:left="1321" w:hanging="720"/>
        <w:rPr>
          <w:rFonts w:asciiTheme="minorBidi" w:hAnsiTheme="minorBidi" w:cstheme="minorBidi"/>
          <w:sz w:val="20"/>
          <w:szCs w:val="20"/>
        </w:rPr>
      </w:pPr>
      <w:r w:rsidRPr="00DC6DB9">
        <w:rPr>
          <w:rFonts w:asciiTheme="minorBidi" w:hAnsiTheme="minorBidi" w:cstheme="minorBidi"/>
          <w:sz w:val="20"/>
          <w:szCs w:val="20"/>
        </w:rPr>
        <w:t xml:space="preserve">Aktsionäri surma korral läheb aktsia üle tema pärijale. </w:t>
      </w:r>
    </w:p>
    <w:p w14:paraId="4F4ABD79" w14:textId="77777777" w:rsidR="00F84A91" w:rsidRPr="00DC6DB9" w:rsidRDefault="00F84A91" w:rsidP="00F84A91">
      <w:pPr>
        <w:pStyle w:val="Heading1"/>
        <w:tabs>
          <w:tab w:val="clear" w:pos="709"/>
          <w:tab w:val="num" w:pos="567"/>
        </w:tabs>
        <w:rPr>
          <w:rFonts w:ascii="Arial" w:hAnsi="Arial" w:cs="Arial"/>
          <w:sz w:val="20"/>
          <w:szCs w:val="20"/>
        </w:rPr>
      </w:pPr>
      <w:r w:rsidRPr="00DC6DB9">
        <w:rPr>
          <w:rFonts w:ascii="Arial" w:hAnsi="Arial" w:cs="Arial"/>
          <w:sz w:val="20"/>
          <w:szCs w:val="20"/>
        </w:rPr>
        <w:lastRenderedPageBreak/>
        <w:t>Aktsionäride üldkoosolek</w:t>
      </w:r>
    </w:p>
    <w:p w14:paraId="0153B1D6" w14:textId="77777777" w:rsidR="00F84A91" w:rsidRPr="00DC6DB9" w:rsidRDefault="00F84A91" w:rsidP="00F84A91">
      <w:pPr>
        <w:pStyle w:val="Heading2"/>
        <w:tabs>
          <w:tab w:val="clear" w:pos="720"/>
          <w:tab w:val="num" w:pos="567"/>
        </w:tabs>
        <w:rPr>
          <w:rFonts w:ascii="Arial" w:hAnsi="Arial" w:cs="Arial"/>
          <w:sz w:val="20"/>
          <w:szCs w:val="20"/>
        </w:rPr>
      </w:pPr>
      <w:bookmarkStart w:id="13" w:name="_Ref211746285"/>
      <w:r w:rsidRPr="00DC6DB9">
        <w:rPr>
          <w:rFonts w:ascii="Arial" w:hAnsi="Arial" w:cs="Arial"/>
          <w:sz w:val="20"/>
          <w:szCs w:val="20"/>
        </w:rPr>
        <w:t>Aktsionäride üldkoosoleku pädevus</w:t>
      </w:r>
      <w:bookmarkEnd w:id="13"/>
    </w:p>
    <w:p w14:paraId="02DA2148" w14:textId="77777777" w:rsidR="00F84A91" w:rsidRPr="00DC6DB9" w:rsidRDefault="00F84A91" w:rsidP="00F84A91">
      <w:pPr>
        <w:pStyle w:val="Section11textRP"/>
        <w:rPr>
          <w:rFonts w:ascii="Arial" w:hAnsi="Arial" w:cs="Arial"/>
          <w:sz w:val="20"/>
          <w:szCs w:val="20"/>
        </w:rPr>
      </w:pPr>
      <w:r w:rsidRPr="00DC6DB9">
        <w:rPr>
          <w:rFonts w:ascii="Arial" w:hAnsi="Arial" w:cs="Arial"/>
          <w:sz w:val="20"/>
          <w:szCs w:val="20"/>
        </w:rPr>
        <w:t xml:space="preserve">Aktsionäride üldkoosolek on seltsi kõrgeim juhtimisorgan. </w:t>
      </w:r>
      <w:bookmarkStart w:id="14" w:name="_Ref208821958"/>
      <w:r w:rsidRPr="00DC6DB9">
        <w:rPr>
          <w:rFonts w:ascii="Arial" w:hAnsi="Arial" w:cs="Arial"/>
          <w:sz w:val="20"/>
          <w:szCs w:val="20"/>
        </w:rPr>
        <w:t>Aktsionäride üldkoosoleku pädevuses on:</w:t>
      </w:r>
      <w:bookmarkEnd w:id="14"/>
    </w:p>
    <w:p w14:paraId="053B8607" w14:textId="77777777" w:rsidR="00F84A91" w:rsidRPr="00DC6DB9" w:rsidRDefault="00F84A91" w:rsidP="00F84A91">
      <w:pPr>
        <w:pStyle w:val="Heading3"/>
        <w:tabs>
          <w:tab w:val="clear" w:pos="371"/>
          <w:tab w:val="num" w:pos="1320"/>
        </w:tabs>
        <w:ind w:left="1321" w:hanging="720"/>
        <w:rPr>
          <w:rFonts w:ascii="Arial" w:hAnsi="Arial" w:cs="Arial"/>
          <w:sz w:val="20"/>
          <w:szCs w:val="20"/>
        </w:rPr>
      </w:pPr>
      <w:bookmarkStart w:id="15" w:name="_Ref209462720"/>
      <w:r w:rsidRPr="00DC6DB9">
        <w:rPr>
          <w:rFonts w:ascii="Arial" w:hAnsi="Arial" w:cs="Arial"/>
          <w:sz w:val="20"/>
          <w:szCs w:val="20"/>
        </w:rPr>
        <w:t>põhikirja muutmine;</w:t>
      </w:r>
      <w:bookmarkEnd w:id="15"/>
    </w:p>
    <w:p w14:paraId="5791625D"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aktsiakapitali suurendamine ja vähendamine;</w:t>
      </w:r>
    </w:p>
    <w:p w14:paraId="7F77749A"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vahetusvõlakirjade väljalaskmise otsustamine;</w:t>
      </w:r>
    </w:p>
    <w:p w14:paraId="24C1317B"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 xml:space="preserve">aktsiaoptsiooniprogrammide tingimuste kinnitamine ja muutmine; </w:t>
      </w:r>
    </w:p>
    <w:p w14:paraId="22940723"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nõukogu liikmete valimine ja tagasikutsumine ning nende tasustamise korra ja tasu suuruse otsustamine;</w:t>
      </w:r>
    </w:p>
    <w:p w14:paraId="23E2A02F"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majandusaasta aruande kinnitamine ja kasumi jaotamine;</w:t>
      </w:r>
    </w:p>
    <w:p w14:paraId="4827F614"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audiitori(te) valimine ja tasustamine;</w:t>
      </w:r>
    </w:p>
    <w:p w14:paraId="40183049"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erikontrolli määramine ja tasustamine;</w:t>
      </w:r>
    </w:p>
    <w:p w14:paraId="7B01443F"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nõukogu liikmega tehingu tegemise otsustamine, tehingu tingimuste määramine, nõukogu liikmega õigusvaidluse pidamise otsustamine ning selles tehingus või vaidluses seltsi esindaja määramine;</w:t>
      </w:r>
    </w:p>
    <w:p w14:paraId="7AA41C05"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seltsi lõpetamise, ühinemise, jagunemise ja ümberkujundamise otsustamine;</w:t>
      </w:r>
    </w:p>
    <w:p w14:paraId="04D3E4D4" w14:textId="77777777" w:rsidR="00F84A91" w:rsidRPr="00DC6DB9" w:rsidRDefault="00F84A91" w:rsidP="00F84A91">
      <w:pPr>
        <w:pStyle w:val="Heading3"/>
        <w:tabs>
          <w:tab w:val="clear" w:pos="371"/>
          <w:tab w:val="num" w:pos="1320"/>
        </w:tabs>
        <w:ind w:left="1321" w:hanging="720"/>
        <w:rPr>
          <w:rFonts w:ascii="Arial" w:hAnsi="Arial" w:cs="Arial"/>
          <w:sz w:val="20"/>
          <w:szCs w:val="20"/>
        </w:rPr>
      </w:pPr>
      <w:bookmarkStart w:id="16" w:name="_Ref129644525"/>
      <w:r w:rsidRPr="00DC6DB9">
        <w:rPr>
          <w:rFonts w:ascii="Arial" w:hAnsi="Arial" w:cs="Arial"/>
          <w:sz w:val="20"/>
          <w:szCs w:val="20"/>
        </w:rPr>
        <w:t>muude küsimuste, mis on kehtivate seaduste ja/või börsi või reguleeritud turu, kus seltsi väärtpaberid on noteeritud või kauplemisele võetud, reglemendi kohaselt üldkoosoleku pädevuses, otsustamine.</w:t>
      </w:r>
      <w:bookmarkEnd w:id="16"/>
      <w:r w:rsidRPr="00DC6DB9">
        <w:rPr>
          <w:rFonts w:ascii="Arial" w:hAnsi="Arial" w:cs="Arial"/>
          <w:sz w:val="20"/>
          <w:szCs w:val="20"/>
        </w:rPr>
        <w:t xml:space="preserve"> </w:t>
      </w:r>
    </w:p>
    <w:p w14:paraId="4FFE59FA" w14:textId="77777777" w:rsidR="00F84A91" w:rsidRPr="00DC6DB9" w:rsidRDefault="00F84A91" w:rsidP="00F84A91">
      <w:pPr>
        <w:pStyle w:val="Heading3"/>
        <w:numPr>
          <w:ilvl w:val="0"/>
          <w:numId w:val="0"/>
        </w:numPr>
        <w:ind w:left="601"/>
        <w:rPr>
          <w:rFonts w:ascii="Arial" w:hAnsi="Arial" w:cs="Arial"/>
          <w:sz w:val="20"/>
          <w:szCs w:val="20"/>
        </w:rPr>
      </w:pPr>
      <w:r w:rsidRPr="00DC6DB9">
        <w:rPr>
          <w:rFonts w:ascii="Arial" w:hAnsi="Arial" w:cs="Arial"/>
          <w:sz w:val="20"/>
          <w:szCs w:val="20"/>
        </w:rPr>
        <w:t>Punktides </w:t>
      </w:r>
      <w:r w:rsidRPr="00DC6DB9">
        <w:rPr>
          <w:rFonts w:ascii="Arial" w:hAnsi="Arial" w:cs="Arial"/>
          <w:sz w:val="20"/>
          <w:szCs w:val="20"/>
        </w:rPr>
        <w:fldChar w:fldCharType="begin"/>
      </w:r>
      <w:r w:rsidRPr="00DC6DB9">
        <w:rPr>
          <w:rFonts w:ascii="Arial" w:hAnsi="Arial" w:cs="Arial"/>
          <w:sz w:val="20"/>
          <w:szCs w:val="20"/>
        </w:rPr>
        <w:instrText xml:space="preserve"> REF _Ref209462720 \r \h  \* MERGEFORMAT </w:instrText>
      </w:r>
      <w:r w:rsidRPr="00DC6DB9">
        <w:rPr>
          <w:rFonts w:ascii="Arial" w:hAnsi="Arial" w:cs="Arial"/>
          <w:sz w:val="20"/>
          <w:szCs w:val="20"/>
        </w:rPr>
      </w:r>
      <w:r w:rsidRPr="00DC6DB9">
        <w:rPr>
          <w:rFonts w:ascii="Arial" w:hAnsi="Arial" w:cs="Arial"/>
          <w:sz w:val="20"/>
          <w:szCs w:val="20"/>
        </w:rPr>
        <w:fldChar w:fldCharType="separate"/>
      </w:r>
      <w:r>
        <w:rPr>
          <w:rFonts w:ascii="Arial" w:hAnsi="Arial" w:cs="Arial"/>
          <w:sz w:val="20"/>
          <w:szCs w:val="20"/>
        </w:rPr>
        <w:t>3.1.1</w:t>
      </w:r>
      <w:r w:rsidRPr="00DC6DB9">
        <w:rPr>
          <w:rFonts w:ascii="Arial" w:hAnsi="Arial" w:cs="Arial"/>
          <w:sz w:val="20"/>
          <w:szCs w:val="20"/>
        </w:rPr>
        <w:fldChar w:fldCharType="end"/>
      </w:r>
      <w:r w:rsidRPr="00DC6DB9">
        <w:rPr>
          <w:rFonts w:ascii="Arial" w:hAnsi="Arial" w:cs="Arial"/>
          <w:sz w:val="20"/>
          <w:szCs w:val="20"/>
        </w:rPr>
        <w:t>-</w:t>
      </w:r>
      <w:r w:rsidRPr="00DC6DB9">
        <w:rPr>
          <w:rFonts w:ascii="Arial" w:hAnsi="Arial" w:cs="Arial"/>
          <w:sz w:val="20"/>
          <w:szCs w:val="20"/>
        </w:rPr>
        <w:fldChar w:fldCharType="begin"/>
      </w:r>
      <w:r w:rsidRPr="00DC6DB9">
        <w:rPr>
          <w:rFonts w:ascii="Arial" w:hAnsi="Arial" w:cs="Arial"/>
          <w:sz w:val="20"/>
          <w:szCs w:val="20"/>
        </w:rPr>
        <w:instrText xml:space="preserve"> REF _Ref129644525 \r \h </w:instrText>
      </w:r>
      <w:r>
        <w:rPr>
          <w:rFonts w:ascii="Arial" w:hAnsi="Arial" w:cs="Arial"/>
          <w:sz w:val="20"/>
          <w:szCs w:val="20"/>
        </w:rPr>
        <w:instrText xml:space="preserve"> \* MERGEFORMAT </w:instrText>
      </w:r>
      <w:r w:rsidRPr="00DC6DB9">
        <w:rPr>
          <w:rFonts w:ascii="Arial" w:hAnsi="Arial" w:cs="Arial"/>
          <w:sz w:val="20"/>
          <w:szCs w:val="20"/>
        </w:rPr>
      </w:r>
      <w:r w:rsidRPr="00DC6DB9">
        <w:rPr>
          <w:rFonts w:ascii="Arial" w:hAnsi="Arial" w:cs="Arial"/>
          <w:sz w:val="20"/>
          <w:szCs w:val="20"/>
        </w:rPr>
        <w:fldChar w:fldCharType="separate"/>
      </w:r>
      <w:r>
        <w:rPr>
          <w:rFonts w:ascii="Arial" w:hAnsi="Arial" w:cs="Arial"/>
          <w:sz w:val="20"/>
          <w:szCs w:val="20"/>
        </w:rPr>
        <w:t>3.1.11</w:t>
      </w:r>
      <w:r w:rsidRPr="00DC6DB9">
        <w:rPr>
          <w:rFonts w:ascii="Arial" w:hAnsi="Arial" w:cs="Arial"/>
          <w:sz w:val="20"/>
          <w:szCs w:val="20"/>
        </w:rPr>
        <w:fldChar w:fldCharType="end"/>
      </w:r>
      <w:r w:rsidRPr="00DC6DB9">
        <w:rPr>
          <w:rFonts w:ascii="Arial" w:hAnsi="Arial" w:cs="Arial"/>
          <w:sz w:val="20"/>
          <w:szCs w:val="20"/>
        </w:rPr>
        <w:t xml:space="preserve"> nimetamata küsimustes võib aktsionäride üldkoosolek otsuse vastu võtta ainult juhatuse või nõukogu nõudel. Juhatuse või nõukogu nõudel vastu võetud otsuse tegemisega tekitatud kahju eest vastutavad aktsionärid solidaarselt nagu juhatuse või nõukogu liikmed.</w:t>
      </w:r>
    </w:p>
    <w:p w14:paraId="6BCEB82A"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Aktsionäride üldkoosoleku kokkukutsumine ja läbiviimise koht</w:t>
      </w:r>
    </w:p>
    <w:p w14:paraId="747C161F"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 xml:space="preserve">Aktsionäride üldkoosoleku kutsub kokku juhatus, kui seaduses ei ole sätestatud teisiti. Korralise üldkoosoleku toimumisest peab juhatus aktsionäridele ette teatama </w:t>
      </w:r>
      <w:r w:rsidRPr="00FA6DAD">
        <w:rPr>
          <w:rFonts w:ascii="Arial" w:hAnsi="Arial" w:cs="Arial"/>
          <w:sz w:val="20"/>
          <w:szCs w:val="20"/>
        </w:rPr>
        <w:t>vähemalt 3 (kolm) nädalat enne aktsionäride üldkoosoleku toimumist. Erakorralise üldkoosoleku toimumisest peab juhatus aktsionäridele ette teatama vähemalt 3 (kolm) nädalat.</w:t>
      </w:r>
    </w:p>
    <w:p w14:paraId="57698EA2" w14:textId="77777777" w:rsidR="00F84A91" w:rsidRPr="00DC6DB9" w:rsidRDefault="00F84A91" w:rsidP="00F84A91">
      <w:pPr>
        <w:pStyle w:val="Heading3"/>
        <w:tabs>
          <w:tab w:val="clear" w:pos="371"/>
          <w:tab w:val="num" w:pos="1320"/>
        </w:tabs>
        <w:ind w:left="1321" w:hanging="720"/>
        <w:rPr>
          <w:rFonts w:ascii="Arial" w:hAnsi="Arial" w:cs="Arial"/>
          <w:sz w:val="20"/>
          <w:szCs w:val="20"/>
        </w:rPr>
      </w:pPr>
      <w:bookmarkStart w:id="17" w:name="_Ref257739410"/>
      <w:r w:rsidRPr="00DC6DB9">
        <w:rPr>
          <w:rFonts w:ascii="Arial" w:hAnsi="Arial" w:cs="Arial"/>
          <w:sz w:val="20"/>
          <w:szCs w:val="20"/>
        </w:rPr>
        <w:t xml:space="preserve">Aktsionäride üldkoosoleku päevakorra määrab nõukogu. Juhatus koostab iga päevakorras oleva otsuse kohta otsuse eelnõu, mille üle üldkoosolekul hääletatakse. Kui aktsionäride üldkoosoleku kutsuvad kokku aktsionärid, nõukogu või audiitor, määrab selle päevakorra koosoleku kokku </w:t>
      </w:r>
      <w:proofErr w:type="spellStart"/>
      <w:r w:rsidRPr="00DC6DB9">
        <w:rPr>
          <w:rFonts w:ascii="Arial" w:hAnsi="Arial" w:cs="Arial"/>
          <w:sz w:val="20"/>
          <w:szCs w:val="20"/>
        </w:rPr>
        <w:t>kutsuja</w:t>
      </w:r>
      <w:proofErr w:type="spellEnd"/>
      <w:r w:rsidRPr="00DC6DB9">
        <w:rPr>
          <w:rFonts w:ascii="Arial" w:hAnsi="Arial" w:cs="Arial"/>
          <w:sz w:val="20"/>
          <w:szCs w:val="20"/>
        </w:rPr>
        <w:t xml:space="preserve">, kes koostab ka päevakorras olevate otsuste eelnõud ja edastab need juhatusele. Aktsionärid, kelle aktsiatega on esindatud </w:t>
      </w:r>
      <w:r w:rsidRPr="00FA6DAD">
        <w:rPr>
          <w:rFonts w:ascii="Arial" w:hAnsi="Arial" w:cs="Arial"/>
          <w:sz w:val="20"/>
          <w:szCs w:val="20"/>
        </w:rPr>
        <w:t>vähemalt 1/20 aktsiakapitalist,</w:t>
      </w:r>
      <w:r w:rsidRPr="00DC6DB9">
        <w:rPr>
          <w:rFonts w:ascii="Arial" w:hAnsi="Arial" w:cs="Arial"/>
          <w:sz w:val="20"/>
          <w:szCs w:val="20"/>
        </w:rPr>
        <w:t xml:space="preserve"> võivad seltsile esitada iga päevakorrapunkti kohta otsuse eelnõu, mille üle üldkoosolekul hääletatakse. Otsuste eelnõud tehakse aktsionäridele kättesaadavaks seaduses sätestatud korras.</w:t>
      </w:r>
      <w:bookmarkEnd w:id="17"/>
    </w:p>
    <w:p w14:paraId="0791C1EF"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Aktsionäride üldkoosolek toimub juhatuse poolt määratud ajal ja kohas Tallinnas.</w:t>
      </w:r>
    </w:p>
    <w:p w14:paraId="7DC9A292"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Kvooruminõuded</w:t>
      </w:r>
    </w:p>
    <w:p w14:paraId="3B6EB672"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Aktsionäride üldkoosolek on pädev vastu võtma otsuseid, kui sellel on esindatud üle poole aktsiatega esindatud häältest</w:t>
      </w:r>
      <w:bookmarkStart w:id="18" w:name="_Ref208802825"/>
      <w:r w:rsidRPr="00DC6DB9">
        <w:rPr>
          <w:rFonts w:ascii="Arial" w:hAnsi="Arial" w:cs="Arial"/>
          <w:sz w:val="20"/>
          <w:szCs w:val="20"/>
        </w:rPr>
        <w:t>.</w:t>
      </w:r>
      <w:bookmarkEnd w:id="18"/>
      <w:r w:rsidRPr="00DC6DB9">
        <w:rPr>
          <w:rFonts w:ascii="Arial" w:hAnsi="Arial" w:cs="Arial"/>
          <w:sz w:val="20"/>
          <w:szCs w:val="20"/>
        </w:rPr>
        <w:t xml:space="preserve"> </w:t>
      </w:r>
    </w:p>
    <w:p w14:paraId="215A138D" w14:textId="77777777" w:rsidR="00F84A91" w:rsidRPr="00DC6DB9" w:rsidRDefault="00F84A91" w:rsidP="00F84A91">
      <w:pPr>
        <w:pStyle w:val="Heading3"/>
        <w:tabs>
          <w:tab w:val="clear" w:pos="371"/>
          <w:tab w:val="num" w:pos="1320"/>
        </w:tabs>
        <w:ind w:left="1321" w:hanging="720"/>
        <w:rPr>
          <w:rFonts w:ascii="Arial" w:hAnsi="Arial" w:cs="Arial"/>
          <w:sz w:val="20"/>
          <w:szCs w:val="20"/>
        </w:rPr>
      </w:pPr>
      <w:bookmarkStart w:id="19" w:name="_Ref208804684"/>
      <w:r w:rsidRPr="00DC6DB9">
        <w:rPr>
          <w:rFonts w:ascii="Arial" w:hAnsi="Arial" w:cs="Arial"/>
          <w:sz w:val="20"/>
          <w:szCs w:val="20"/>
        </w:rPr>
        <w:t>Kui aktsionäride üldkoosolekul ei ole esindatud punktis </w:t>
      </w:r>
      <w:r w:rsidRPr="00DC6DB9">
        <w:rPr>
          <w:rFonts w:ascii="Arial" w:hAnsi="Arial" w:cs="Arial"/>
          <w:sz w:val="20"/>
          <w:szCs w:val="20"/>
        </w:rPr>
        <w:fldChar w:fldCharType="begin"/>
      </w:r>
      <w:r w:rsidRPr="00DC6DB9">
        <w:rPr>
          <w:rFonts w:ascii="Arial" w:hAnsi="Arial" w:cs="Arial"/>
          <w:sz w:val="20"/>
          <w:szCs w:val="20"/>
        </w:rPr>
        <w:instrText xml:space="preserve"> REF _Ref208802825 \r \h  \* MERGEFORMAT </w:instrText>
      </w:r>
      <w:r w:rsidRPr="00DC6DB9">
        <w:rPr>
          <w:rFonts w:ascii="Arial" w:hAnsi="Arial" w:cs="Arial"/>
          <w:sz w:val="20"/>
          <w:szCs w:val="20"/>
        </w:rPr>
      </w:r>
      <w:r w:rsidRPr="00DC6DB9">
        <w:rPr>
          <w:rFonts w:ascii="Arial" w:hAnsi="Arial" w:cs="Arial"/>
          <w:sz w:val="20"/>
          <w:szCs w:val="20"/>
        </w:rPr>
        <w:fldChar w:fldCharType="separate"/>
      </w:r>
      <w:r>
        <w:rPr>
          <w:rFonts w:ascii="Arial" w:hAnsi="Arial" w:cs="Arial"/>
          <w:sz w:val="20"/>
          <w:szCs w:val="20"/>
        </w:rPr>
        <w:t>3.3.1</w:t>
      </w:r>
      <w:r w:rsidRPr="00DC6DB9">
        <w:rPr>
          <w:rFonts w:ascii="Arial" w:hAnsi="Arial" w:cs="Arial"/>
          <w:sz w:val="20"/>
          <w:szCs w:val="20"/>
        </w:rPr>
        <w:fldChar w:fldCharType="end"/>
      </w:r>
      <w:r w:rsidRPr="00DC6DB9">
        <w:rPr>
          <w:rFonts w:ascii="Arial" w:hAnsi="Arial" w:cs="Arial"/>
          <w:sz w:val="20"/>
          <w:szCs w:val="20"/>
        </w:rPr>
        <w:t xml:space="preserve"> nimetatud hääled, kutsub juhatus seaduses sätestatud korras kokku uue aktsionäride üldkoosoleku </w:t>
      </w:r>
      <w:r w:rsidRPr="00DC6DB9">
        <w:rPr>
          <w:rFonts w:ascii="Arial" w:hAnsi="Arial" w:cs="Arial"/>
          <w:sz w:val="20"/>
          <w:szCs w:val="20"/>
        </w:rPr>
        <w:lastRenderedPageBreak/>
        <w:t>sama päevakorraga. Uus aktsionäride üldkoosolek on pädev vastu võtma otsuseid sõltumata sellel esindatud häältest.</w:t>
      </w:r>
      <w:bookmarkEnd w:id="19"/>
    </w:p>
    <w:p w14:paraId="17ACBD6D" w14:textId="77777777" w:rsidR="00F84A91" w:rsidRPr="00DC6DB9" w:rsidRDefault="00F84A91" w:rsidP="00F84A91">
      <w:pPr>
        <w:pStyle w:val="Heading2"/>
        <w:tabs>
          <w:tab w:val="clear" w:pos="720"/>
          <w:tab w:val="num" w:pos="567"/>
        </w:tabs>
        <w:rPr>
          <w:rFonts w:ascii="Arial" w:hAnsi="Arial" w:cs="Arial"/>
          <w:sz w:val="20"/>
          <w:szCs w:val="20"/>
        </w:rPr>
      </w:pPr>
      <w:bookmarkStart w:id="20" w:name="_Ref208744143"/>
      <w:r w:rsidRPr="00DC6DB9">
        <w:rPr>
          <w:rFonts w:ascii="Arial" w:hAnsi="Arial" w:cs="Arial"/>
          <w:sz w:val="20"/>
          <w:szCs w:val="20"/>
        </w:rPr>
        <w:t>Otsuste vastuvõtmine aktsionäride üldkoosolekul</w:t>
      </w:r>
    </w:p>
    <w:p w14:paraId="58EBB0B9" w14:textId="77777777" w:rsidR="00F84A91" w:rsidRPr="00DC6DB9" w:rsidRDefault="00F84A91" w:rsidP="00F84A91">
      <w:pPr>
        <w:pStyle w:val="Heading3"/>
        <w:numPr>
          <w:ilvl w:val="0"/>
          <w:numId w:val="0"/>
        </w:numPr>
        <w:ind w:left="601"/>
        <w:rPr>
          <w:rFonts w:ascii="Arial" w:hAnsi="Arial" w:cs="Arial"/>
          <w:sz w:val="20"/>
          <w:szCs w:val="20"/>
        </w:rPr>
      </w:pPr>
      <w:bookmarkStart w:id="21" w:name="_Ref208803936"/>
      <w:bookmarkStart w:id="22" w:name="_Ref208804524"/>
      <w:bookmarkEnd w:id="20"/>
      <w:r w:rsidRPr="00DC6DB9">
        <w:rPr>
          <w:rFonts w:ascii="Arial" w:hAnsi="Arial" w:cs="Arial"/>
          <w:sz w:val="20"/>
          <w:szCs w:val="20"/>
        </w:rPr>
        <w:t>Aktsionäride üldkoosoleku otsus on vastu võetud, kui selle poolt antakse üle poole aktsionäride üldkoosolekul esindatud häältest, kui seaduse või põhikirjaga ei ole ette nähtud suurema häälteenamuse nõuet.</w:t>
      </w:r>
      <w:bookmarkEnd w:id="21"/>
      <w:r w:rsidRPr="00DC6DB9">
        <w:rPr>
          <w:rFonts w:ascii="Arial" w:hAnsi="Arial" w:cs="Arial"/>
          <w:sz w:val="20"/>
          <w:szCs w:val="20"/>
        </w:rPr>
        <w:t xml:space="preserve"> </w:t>
      </w:r>
      <w:bookmarkEnd w:id="22"/>
      <w:r w:rsidRPr="00DC6DB9">
        <w:rPr>
          <w:rFonts w:ascii="Arial" w:hAnsi="Arial" w:cs="Arial"/>
          <w:sz w:val="20"/>
          <w:szCs w:val="20"/>
        </w:rPr>
        <w:t>Nõukogu liikme valimisel loetakse üldkoosolekul valituks kandidaat, kes sai teistest enam hääli.</w:t>
      </w:r>
    </w:p>
    <w:p w14:paraId="64E796E6"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Elektrooniline osalemine aktsionäride üldkoosolekul</w:t>
      </w:r>
    </w:p>
    <w:p w14:paraId="2394F2C3" w14:textId="77777777" w:rsidR="00F84A91" w:rsidRPr="00DC6DB9" w:rsidRDefault="00F84A91" w:rsidP="00F84A91">
      <w:pPr>
        <w:pStyle w:val="Section11textRP"/>
        <w:rPr>
          <w:rFonts w:ascii="Arial" w:hAnsi="Arial" w:cs="Arial"/>
          <w:sz w:val="20"/>
          <w:szCs w:val="20"/>
        </w:rPr>
      </w:pPr>
      <w:r w:rsidRPr="00DC6DB9">
        <w:rPr>
          <w:rFonts w:ascii="Arial" w:hAnsi="Arial" w:cs="Arial"/>
          <w:sz w:val="20"/>
          <w:szCs w:val="20"/>
        </w:rPr>
        <w:t xml:space="preserve">Selts võib võimaldada aktsionäridel osaleda üldkoosolekul ja teostada oma õigusi elektrooniliste vahendite abil ilma koosolekul füüsiliselt kohal olemata, reaalajas toimuva kahesuunalise side abil või muul sellesarnasel elektroonilisel viisil, mis võimaldab organi liikmel eemal viibides koosolekut jälgida ja sõna võtta ning otsuste vastuvõtmisel hääletada. Sellisel juhul kinnitab seltsi juhatuse elektroonilise osalemise täpsema korra. </w:t>
      </w:r>
    </w:p>
    <w:p w14:paraId="2431EA53"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Otsuste vastuvõtmine aktsionäride üldkoosolekut kokku kutsumata</w:t>
      </w:r>
    </w:p>
    <w:p w14:paraId="29F73092" w14:textId="77777777" w:rsidR="00F84A91" w:rsidRPr="00DC6DB9" w:rsidRDefault="00F84A91" w:rsidP="00F84A91">
      <w:pPr>
        <w:pStyle w:val="Section11textRP"/>
        <w:rPr>
          <w:rFonts w:ascii="Arial" w:hAnsi="Arial" w:cs="Arial"/>
          <w:sz w:val="20"/>
          <w:szCs w:val="20"/>
        </w:rPr>
      </w:pPr>
      <w:r w:rsidRPr="00DC6DB9">
        <w:rPr>
          <w:rFonts w:ascii="Arial" w:hAnsi="Arial" w:cs="Arial"/>
          <w:sz w:val="20"/>
          <w:szCs w:val="20"/>
        </w:rPr>
        <w:t>Aktsionärid võivad seaduses sätestatud korras otsuseid vastu võtta aktsionäride üldkoosolekut kokku kutsumata.</w:t>
      </w:r>
    </w:p>
    <w:p w14:paraId="0B0F1048" w14:textId="77777777" w:rsidR="00F84A91" w:rsidRPr="00DC6DB9" w:rsidRDefault="00F84A91" w:rsidP="00F84A91">
      <w:pPr>
        <w:pStyle w:val="Heading1"/>
        <w:tabs>
          <w:tab w:val="clear" w:pos="709"/>
          <w:tab w:val="num" w:pos="567"/>
        </w:tabs>
        <w:rPr>
          <w:rFonts w:ascii="Arial" w:hAnsi="Arial" w:cs="Arial"/>
          <w:sz w:val="20"/>
          <w:szCs w:val="20"/>
        </w:rPr>
      </w:pPr>
      <w:bookmarkStart w:id="23" w:name="_Ref208738317"/>
      <w:r w:rsidRPr="00DC6DB9">
        <w:rPr>
          <w:rFonts w:ascii="Arial" w:hAnsi="Arial" w:cs="Arial"/>
          <w:sz w:val="20"/>
          <w:szCs w:val="20"/>
        </w:rPr>
        <w:t>Nõukogu</w:t>
      </w:r>
      <w:bookmarkEnd w:id="23"/>
    </w:p>
    <w:p w14:paraId="5BF05952"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Nõukogu pädevus</w:t>
      </w:r>
    </w:p>
    <w:p w14:paraId="2E9F7D5A" w14:textId="77777777" w:rsidR="00F84A91" w:rsidRPr="00DC6DB9" w:rsidRDefault="00F84A91" w:rsidP="00F84A91">
      <w:pPr>
        <w:pStyle w:val="Heading3"/>
        <w:numPr>
          <w:ilvl w:val="0"/>
          <w:numId w:val="0"/>
        </w:numPr>
        <w:ind w:left="601"/>
        <w:rPr>
          <w:rFonts w:ascii="Arial" w:hAnsi="Arial" w:cs="Arial"/>
          <w:sz w:val="20"/>
          <w:szCs w:val="20"/>
        </w:rPr>
      </w:pPr>
      <w:r w:rsidRPr="00DC6DB9">
        <w:rPr>
          <w:rFonts w:ascii="Arial" w:hAnsi="Arial" w:cs="Arial"/>
          <w:sz w:val="20"/>
          <w:szCs w:val="20"/>
        </w:rPr>
        <w:t xml:space="preserve">Nõukogu on seltsi juhtimisorgan, mis planeerib seltsi tegevust ja korraldab seltsi juhtimist ning teostab järelevalvet juhatuse tegevuse üle. Nõukogu pädevusse kuulub muuhulgas: </w:t>
      </w:r>
    </w:p>
    <w:p w14:paraId="3798A203"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seltsi äriplaani, strateegia ja aastaeelarve (sh investeeringute plaani) kinnitamine ning nendes muudatuste tegemine, samuti nendest kõrvalekaldumise otsustamine;</w:t>
      </w:r>
    </w:p>
    <w:p w14:paraId="758C2F65"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juhatuse liikmete valimine ja tagasikutsumine ning juhatuse esimehe määramine;</w:t>
      </w:r>
    </w:p>
    <w:p w14:paraId="78439175" w14:textId="77777777" w:rsidR="00F84A91" w:rsidRPr="006B17A1" w:rsidRDefault="00F84A91" w:rsidP="00F84A91">
      <w:pPr>
        <w:pStyle w:val="Heading3"/>
        <w:tabs>
          <w:tab w:val="clear" w:pos="371"/>
          <w:tab w:val="num" w:pos="1320"/>
        </w:tabs>
        <w:ind w:left="1321" w:hanging="720"/>
        <w:rPr>
          <w:rFonts w:asciiTheme="minorBidi" w:hAnsiTheme="minorBidi" w:cstheme="minorBidi"/>
          <w:sz w:val="20"/>
          <w:szCs w:val="20"/>
        </w:rPr>
      </w:pPr>
      <w:r w:rsidRPr="006B17A1">
        <w:rPr>
          <w:rFonts w:asciiTheme="minorBidi" w:hAnsiTheme="minorBidi" w:cstheme="minorBidi"/>
          <w:sz w:val="20"/>
          <w:szCs w:val="20"/>
        </w:rPr>
        <w:t xml:space="preserve">prokuristi nimetamine ning tagasikutsumine; </w:t>
      </w:r>
    </w:p>
    <w:p w14:paraId="53303508" w14:textId="77777777" w:rsidR="00F84A91" w:rsidRPr="006B17A1" w:rsidRDefault="00F84A91" w:rsidP="00F84A91">
      <w:pPr>
        <w:pStyle w:val="Heading3"/>
        <w:tabs>
          <w:tab w:val="clear" w:pos="371"/>
          <w:tab w:val="num" w:pos="1320"/>
        </w:tabs>
        <w:ind w:left="1321" w:hanging="720"/>
        <w:rPr>
          <w:rFonts w:asciiTheme="minorBidi" w:hAnsiTheme="minorBidi" w:cstheme="minorBidi"/>
          <w:sz w:val="20"/>
          <w:szCs w:val="20"/>
        </w:rPr>
      </w:pPr>
      <w:r w:rsidRPr="006B17A1">
        <w:rPr>
          <w:rFonts w:asciiTheme="minorBidi" w:hAnsiTheme="minorBidi" w:cstheme="minorBidi"/>
          <w:sz w:val="20"/>
          <w:szCs w:val="20"/>
        </w:rPr>
        <w:t>nõukogu poolt moodustatavate organite liikmete valimine ja tagasikutsumine ning töökorra kehtestamine, kui seaduses ei ole sätestatud teisiti;</w:t>
      </w:r>
    </w:p>
    <w:p w14:paraId="7B6F53BC" w14:textId="77777777" w:rsidR="00F84A91" w:rsidRPr="007858FF" w:rsidRDefault="00F84A91" w:rsidP="00F84A91">
      <w:pPr>
        <w:pStyle w:val="Heading3"/>
        <w:tabs>
          <w:tab w:val="clear" w:pos="371"/>
          <w:tab w:val="num" w:pos="1320"/>
        </w:tabs>
        <w:ind w:left="1321" w:hanging="720"/>
        <w:rPr>
          <w:rFonts w:asciiTheme="minorBidi" w:hAnsiTheme="minorBidi" w:cstheme="minorBidi"/>
          <w:sz w:val="20"/>
          <w:szCs w:val="20"/>
        </w:rPr>
      </w:pPr>
      <w:r w:rsidRPr="007858FF">
        <w:rPr>
          <w:rFonts w:asciiTheme="minorBidi" w:hAnsiTheme="minorBidi" w:cstheme="minorBidi"/>
          <w:sz w:val="20"/>
          <w:szCs w:val="20"/>
        </w:rPr>
        <w:t>seltsi juhatuse liikmete tasustamise põhimõtete kinnitamine ja nende järgimise üle järelevalve teostamine</w:t>
      </w:r>
      <w:r w:rsidRPr="007858FF">
        <w:rPr>
          <w:rFonts w:asciiTheme="minorBidi" w:eastAsia="Calibri" w:hAnsiTheme="minorBidi" w:cstheme="minorBidi"/>
          <w:sz w:val="20"/>
          <w:szCs w:val="20"/>
          <w:lang w:eastAsia="et-EE"/>
        </w:rPr>
        <w:t>;</w:t>
      </w:r>
    </w:p>
    <w:p w14:paraId="78EC5FB6" w14:textId="77777777" w:rsidR="00F84A91" w:rsidRPr="007858FF" w:rsidRDefault="00F84A91" w:rsidP="00F84A91">
      <w:pPr>
        <w:pStyle w:val="Heading3"/>
        <w:tabs>
          <w:tab w:val="clear" w:pos="371"/>
          <w:tab w:val="num" w:pos="1320"/>
        </w:tabs>
        <w:ind w:left="1321" w:hanging="720"/>
        <w:rPr>
          <w:rFonts w:asciiTheme="minorBidi" w:hAnsiTheme="minorBidi" w:cstheme="minorBidi"/>
          <w:sz w:val="20"/>
          <w:szCs w:val="20"/>
        </w:rPr>
      </w:pPr>
      <w:r w:rsidRPr="007858FF">
        <w:rPr>
          <w:rFonts w:asciiTheme="minorBidi" w:hAnsiTheme="minorBidi" w:cstheme="minorBidi"/>
          <w:sz w:val="20"/>
          <w:szCs w:val="20"/>
        </w:rPr>
        <w:t>juhatuse liikmega seltsi jaoks olulise tehingu tegemise otsustamine, tehingu tingimuste määramine, õigusvaidluse pidamise otsustamine ning tehingus või õigusvaidluses seltsi esindaja määramine;</w:t>
      </w:r>
    </w:p>
    <w:p w14:paraId="1F20B23E" w14:textId="77777777" w:rsidR="00F84A91" w:rsidRPr="00DC6DB9" w:rsidRDefault="00F84A91" w:rsidP="00F84A91">
      <w:pPr>
        <w:pStyle w:val="Heading3"/>
        <w:tabs>
          <w:tab w:val="clear" w:pos="371"/>
          <w:tab w:val="num" w:pos="1320"/>
        </w:tabs>
        <w:ind w:left="1321" w:hanging="720"/>
        <w:rPr>
          <w:rFonts w:asciiTheme="minorBidi" w:hAnsiTheme="minorBidi" w:cstheme="minorBidi"/>
          <w:sz w:val="20"/>
          <w:szCs w:val="20"/>
        </w:rPr>
      </w:pPr>
      <w:r w:rsidRPr="00DC6DB9">
        <w:rPr>
          <w:rFonts w:ascii="Arial" w:hAnsi="Arial" w:cs="Arial"/>
          <w:sz w:val="20"/>
          <w:szCs w:val="20"/>
        </w:rPr>
        <w:t>seltsi majandustegevuse iseloomu või selle ulatuse oluline muutmine, k.a loobumine teatud valdkonnas tegutsemisest, seltsi tegevusvaldkondade laiendamine ja uute tegevusvaldkondade ülevõtmine;</w:t>
      </w:r>
    </w:p>
    <w:p w14:paraId="4462C85E" w14:textId="77777777" w:rsidR="00F84A91" w:rsidRPr="00DC6DB9" w:rsidRDefault="00F84A91" w:rsidP="00F84A91">
      <w:pPr>
        <w:pStyle w:val="Heading3"/>
        <w:tabs>
          <w:tab w:val="clear" w:pos="371"/>
          <w:tab w:val="num" w:pos="1320"/>
        </w:tabs>
        <w:ind w:left="1321" w:hanging="720"/>
        <w:rPr>
          <w:rFonts w:asciiTheme="minorBidi" w:hAnsiTheme="minorBidi" w:cstheme="minorBidi"/>
          <w:sz w:val="20"/>
          <w:szCs w:val="20"/>
        </w:rPr>
      </w:pPr>
      <w:bookmarkStart w:id="24" w:name="_Ref96377416"/>
      <w:r w:rsidRPr="00DC6DB9">
        <w:rPr>
          <w:rFonts w:asciiTheme="minorBidi" w:hAnsiTheme="minorBidi" w:cstheme="minorBidi"/>
          <w:sz w:val="20"/>
          <w:szCs w:val="20"/>
        </w:rPr>
        <w:t>juhatusele nõusoleku andmine tehingute või muude toimingute tegemiseks, mis väljuvad igapäevase majandustegevuse raamest. Nõukogu võib oma otsusega kehtestada igapäevase majandustegevuse raamest väljuvate nõukogu nõusolekut vajavate seltsi või selle tütarühingute poolt tehtavate tehingute või muude toimingute nimekirja ning tunnused;</w:t>
      </w:r>
      <w:bookmarkEnd w:id="24"/>
      <w:r w:rsidRPr="00DC6DB9">
        <w:rPr>
          <w:rFonts w:asciiTheme="minorBidi" w:hAnsiTheme="minorBidi" w:cstheme="minorBidi"/>
          <w:sz w:val="20"/>
          <w:szCs w:val="20"/>
        </w:rPr>
        <w:t xml:space="preserve"> </w:t>
      </w:r>
    </w:p>
    <w:p w14:paraId="1CADA1CE" w14:textId="77777777" w:rsidR="00F84A91" w:rsidRPr="00DC6DB9" w:rsidRDefault="00F84A91" w:rsidP="00F84A91">
      <w:pPr>
        <w:pStyle w:val="Heading3"/>
        <w:tabs>
          <w:tab w:val="clear" w:pos="371"/>
          <w:tab w:val="num" w:pos="1320"/>
        </w:tabs>
        <w:ind w:left="1321" w:hanging="720"/>
        <w:rPr>
          <w:rFonts w:asciiTheme="minorBidi" w:hAnsiTheme="minorBidi" w:cstheme="minorBidi"/>
        </w:rPr>
      </w:pPr>
      <w:r w:rsidRPr="00DC6DB9">
        <w:rPr>
          <w:rFonts w:asciiTheme="minorBidi" w:hAnsiTheme="minorBidi" w:cstheme="minorBidi"/>
          <w:bCs w:val="0"/>
          <w:sz w:val="20"/>
          <w:szCs w:val="20"/>
        </w:rPr>
        <w:t xml:space="preserve">kõik muud küsimused, mis vastavalt põhikirjale ja/või kehtivatele seadustele on nõukogu pädevuses. </w:t>
      </w:r>
      <w:r w:rsidRPr="00DC6DB9">
        <w:rPr>
          <w:rFonts w:asciiTheme="minorBidi" w:hAnsiTheme="minorBidi" w:cstheme="minorBidi"/>
          <w:sz w:val="20"/>
          <w:szCs w:val="20"/>
        </w:rPr>
        <w:t xml:space="preserve"> </w:t>
      </w:r>
    </w:p>
    <w:p w14:paraId="4C2525A4"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Nõukogu liikmed</w:t>
      </w:r>
    </w:p>
    <w:p w14:paraId="4821DB32"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 xml:space="preserve">Nõukogul on 3 (kolm) kuni seitse (7) liiget, kes valitakse ja kutsutakse tagasi aktsionäride üldkoosoleku poolt. Nõukogu liikmete täpse arvu määramisel lähtub aktsionäride üldkoosolek seltsi suurusest ja majanduslikust olukorrast ning </w:t>
      </w:r>
      <w:r w:rsidRPr="00DC6DB9">
        <w:rPr>
          <w:rFonts w:ascii="Arial" w:hAnsi="Arial" w:cs="Arial"/>
          <w:sz w:val="20"/>
          <w:szCs w:val="20"/>
        </w:rPr>
        <w:lastRenderedPageBreak/>
        <w:t xml:space="preserve">vajadusest tagada nõukogu ülesannete efektiivne täitmine. Nõukogu liikme volituste tähtaeg on viis (5) aastat. </w:t>
      </w:r>
    </w:p>
    <w:p w14:paraId="55E2E61A" w14:textId="77777777" w:rsidR="00F84A91" w:rsidRPr="00DC6DB9" w:rsidRDefault="00F84A91" w:rsidP="00F84A91">
      <w:pPr>
        <w:pStyle w:val="Heading3"/>
        <w:tabs>
          <w:tab w:val="clear" w:pos="371"/>
          <w:tab w:val="num" w:pos="1320"/>
        </w:tabs>
        <w:ind w:left="1321" w:hanging="720"/>
        <w:rPr>
          <w:rFonts w:ascii="Arial" w:hAnsi="Arial" w:cs="Arial"/>
          <w:sz w:val="20"/>
          <w:szCs w:val="20"/>
        </w:rPr>
      </w:pPr>
      <w:bookmarkStart w:id="25" w:name="_Ref208738398"/>
      <w:r w:rsidRPr="00DC6DB9">
        <w:rPr>
          <w:rFonts w:ascii="Arial" w:hAnsi="Arial" w:cs="Arial"/>
          <w:sz w:val="20"/>
          <w:szCs w:val="20"/>
        </w:rPr>
        <w:t>Nõukogu liikmed valivad enda hulgast esimehe, kes korraldab nõukogu tegevust.</w:t>
      </w:r>
    </w:p>
    <w:p w14:paraId="7CA26495"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Nõukogu otsused</w:t>
      </w:r>
    </w:p>
    <w:bookmarkEnd w:id="25"/>
    <w:p w14:paraId="7CF9B2F8"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 xml:space="preserve">Nõukogu võtab otsuseid vastu nõukogu koosolekul või koosolekut kokku kutsumata põhikirjas, nõukogu töökorras ja muudes seltsi töökorralduslikes dokumentides ja seaduses sätestatud korras. </w:t>
      </w:r>
    </w:p>
    <w:p w14:paraId="1253C444"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 xml:space="preserve">Nõukogu koosoleku kutsub kokku nõukogu esimees. Nõukogu koosoleku toimumisest ja selle päevakorrast tuleb ette teatada vähemalt üks (1) tööpäev. </w:t>
      </w:r>
    </w:p>
    <w:p w14:paraId="329D1508"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Nõukogu liige võib nõukogu koosolekul osaleda ja teostada oma õigusi elektrooniliste vahendite abil ilma koosolekul füüsiliselt kohal olemata, reaalajas toimuva kahesuunalise side abil või muul sellesarnasel elektroonilisel viisil, mis võimaldab nõukogu liikmel eemal viibides koosolekut jälgida ja sõna võtta ning otsuste vastuvõtmisel hääletada.</w:t>
      </w:r>
    </w:p>
    <w:p w14:paraId="4F3CB3D0"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 xml:space="preserve">Nõukogu koosolek on otsustusvõimeline, kui sellest võtab osa üle poole nõukogu liikmetest. </w:t>
      </w:r>
    </w:p>
    <w:p w14:paraId="66CB1F95" w14:textId="3AD364BB" w:rsidR="00F84A91" w:rsidRPr="00DC6DB9" w:rsidRDefault="00F84A91" w:rsidP="00F84A91">
      <w:pPr>
        <w:pStyle w:val="Heading3"/>
        <w:tabs>
          <w:tab w:val="clear" w:pos="371"/>
          <w:tab w:val="num" w:pos="1320"/>
        </w:tabs>
        <w:ind w:left="1321" w:hanging="720"/>
        <w:rPr>
          <w:rFonts w:ascii="Arial" w:hAnsi="Arial" w:cs="Arial"/>
          <w:sz w:val="20"/>
          <w:szCs w:val="20"/>
        </w:rPr>
      </w:pPr>
      <w:bookmarkStart w:id="26" w:name="_Ref208738277"/>
      <w:r w:rsidRPr="00DC6DB9">
        <w:rPr>
          <w:rFonts w:ascii="Arial" w:hAnsi="Arial" w:cs="Arial"/>
          <w:sz w:val="20"/>
          <w:szCs w:val="20"/>
        </w:rPr>
        <w:t>Nõukogul on õigus vastu võtta otsuseid nõukogu koosolekut kokku kutsumata. Otsuse vastuvõtmisel nõukogu koosolekut kokku kutsumata saadab nõukogu esimees vastava otsuse eelnõu kõigile nõukogu liikmetele, määrates tähtaja, mille jooksul nõukogu liige peab esitama selle kohta oma seisukoha</w:t>
      </w:r>
      <w:r w:rsidR="007858FF">
        <w:rPr>
          <w:rFonts w:ascii="Arial" w:hAnsi="Arial" w:cs="Arial"/>
          <w:sz w:val="20"/>
          <w:szCs w:val="20"/>
        </w:rPr>
        <w:t xml:space="preserve"> kirjalikku taasesitamist võimaldavas vormis</w:t>
      </w:r>
      <w:r w:rsidRPr="00DC6DB9">
        <w:rPr>
          <w:rFonts w:ascii="Arial" w:hAnsi="Arial" w:cs="Arial"/>
          <w:sz w:val="20"/>
          <w:szCs w:val="20"/>
        </w:rPr>
        <w:t>. Kui nõukogu liige ei teata nimetatud tähtaja jooksul, kas ta on otsuse poolt või vastu, loetakse, et ta hääletab otsuse vastu.</w:t>
      </w:r>
      <w:bookmarkEnd w:id="26"/>
    </w:p>
    <w:p w14:paraId="19877BFC"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Nõukogu otsus on vastu võetud, kui selle poolt hääletab üle poole kõigist nõukogu liikmetest. Otsuse vastuvõtmisel nõukogu koosolekut kokku kutsumata punktis </w:t>
      </w:r>
      <w:r w:rsidRPr="00DC6DB9">
        <w:rPr>
          <w:rFonts w:ascii="Arial" w:hAnsi="Arial" w:cs="Arial"/>
          <w:sz w:val="20"/>
          <w:szCs w:val="20"/>
        </w:rPr>
        <w:fldChar w:fldCharType="begin"/>
      </w:r>
      <w:r w:rsidRPr="00DC6DB9">
        <w:rPr>
          <w:rFonts w:ascii="Arial" w:hAnsi="Arial" w:cs="Arial"/>
          <w:sz w:val="20"/>
          <w:szCs w:val="20"/>
        </w:rPr>
        <w:instrText xml:space="preserve"> REF _Ref208738277 \r \h  \* MERGEFORMAT </w:instrText>
      </w:r>
      <w:r w:rsidRPr="00DC6DB9">
        <w:rPr>
          <w:rFonts w:ascii="Arial" w:hAnsi="Arial" w:cs="Arial"/>
          <w:sz w:val="20"/>
          <w:szCs w:val="20"/>
        </w:rPr>
      </w:r>
      <w:r w:rsidRPr="00DC6DB9">
        <w:rPr>
          <w:rFonts w:ascii="Arial" w:hAnsi="Arial" w:cs="Arial"/>
          <w:sz w:val="20"/>
          <w:szCs w:val="20"/>
        </w:rPr>
        <w:fldChar w:fldCharType="separate"/>
      </w:r>
      <w:r>
        <w:rPr>
          <w:rFonts w:ascii="Arial" w:hAnsi="Arial" w:cs="Arial"/>
          <w:sz w:val="20"/>
          <w:szCs w:val="20"/>
        </w:rPr>
        <w:t>4.3.5</w:t>
      </w:r>
      <w:r w:rsidRPr="00DC6DB9">
        <w:rPr>
          <w:rFonts w:ascii="Arial" w:hAnsi="Arial" w:cs="Arial"/>
          <w:sz w:val="20"/>
          <w:szCs w:val="20"/>
        </w:rPr>
        <w:fldChar w:fldCharType="end"/>
      </w:r>
      <w:r w:rsidRPr="00DC6DB9">
        <w:rPr>
          <w:rFonts w:ascii="Arial" w:hAnsi="Arial" w:cs="Arial"/>
          <w:sz w:val="20"/>
          <w:szCs w:val="20"/>
        </w:rPr>
        <w:t xml:space="preserve"> sätestatud viisil, on otsus vastu võetud, kui selle poolt hääletab üle poole kõigist nõukogu liikmetest. </w:t>
      </w:r>
    </w:p>
    <w:p w14:paraId="7DAC38C0" w14:textId="77777777" w:rsidR="00F84A91" w:rsidRPr="007858FF" w:rsidRDefault="00F84A91" w:rsidP="00F84A91">
      <w:pPr>
        <w:pStyle w:val="Heading3"/>
        <w:tabs>
          <w:tab w:val="clear" w:pos="371"/>
          <w:tab w:val="num" w:pos="1320"/>
        </w:tabs>
        <w:ind w:left="1321" w:hanging="720"/>
        <w:rPr>
          <w:rFonts w:ascii="Arial" w:hAnsi="Arial" w:cs="Arial"/>
          <w:sz w:val="20"/>
          <w:szCs w:val="20"/>
        </w:rPr>
      </w:pPr>
      <w:r w:rsidRPr="007858FF">
        <w:rPr>
          <w:rFonts w:ascii="Arial" w:hAnsi="Arial" w:cs="Arial"/>
          <w:sz w:val="20"/>
          <w:szCs w:val="20"/>
        </w:rPr>
        <w:t xml:space="preserve">Nõukogu liige ei võta osa hääletamisest, kui otsustatakse tema ja seltsi vahelise tehingu tegemiseks nõusoleku andmist, samuti kolmanda isiku ja seltsi vahelise tehingu tegemiseks nõusoleku andmist, kui sellest tehingust tulenevad nõukogu liikme huvid on vastuolus seltsi huvidega. </w:t>
      </w:r>
    </w:p>
    <w:p w14:paraId="530A2585" w14:textId="77777777" w:rsidR="00F84A91" w:rsidRPr="00DC6DB9"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Nõukogu otsus loetakse vastuvõetuks ka juhul, kui otsus vormistatakse kirjalikult ja selle on allkirjastanud kõik nõukogu liikmed.</w:t>
      </w:r>
    </w:p>
    <w:p w14:paraId="474E3E40" w14:textId="77777777" w:rsidR="00F84A91" w:rsidRPr="00DC6DB9" w:rsidRDefault="00F84A91" w:rsidP="00F84A91">
      <w:pPr>
        <w:pStyle w:val="Heading1"/>
        <w:tabs>
          <w:tab w:val="clear" w:pos="709"/>
          <w:tab w:val="num" w:pos="567"/>
        </w:tabs>
        <w:rPr>
          <w:rFonts w:ascii="Arial" w:hAnsi="Arial" w:cs="Arial"/>
          <w:sz w:val="20"/>
          <w:szCs w:val="20"/>
        </w:rPr>
      </w:pPr>
      <w:r w:rsidRPr="00DC6DB9">
        <w:rPr>
          <w:rFonts w:ascii="Arial" w:hAnsi="Arial" w:cs="Arial"/>
          <w:sz w:val="20"/>
          <w:szCs w:val="20"/>
        </w:rPr>
        <w:t>Juhatus</w:t>
      </w:r>
    </w:p>
    <w:p w14:paraId="1FB6FC69" w14:textId="77777777" w:rsidR="00F84A91" w:rsidRPr="00DC6DB9" w:rsidRDefault="00F84A91" w:rsidP="00F84A91">
      <w:pPr>
        <w:pStyle w:val="Heading2"/>
        <w:tabs>
          <w:tab w:val="clear" w:pos="720"/>
          <w:tab w:val="num" w:pos="567"/>
        </w:tabs>
        <w:rPr>
          <w:rFonts w:ascii="Arial" w:hAnsi="Arial" w:cs="Arial"/>
          <w:sz w:val="20"/>
          <w:szCs w:val="20"/>
        </w:rPr>
      </w:pPr>
      <w:r w:rsidRPr="00DC6DB9">
        <w:rPr>
          <w:rFonts w:ascii="Arial" w:hAnsi="Arial" w:cs="Arial"/>
          <w:sz w:val="20"/>
          <w:szCs w:val="20"/>
        </w:rPr>
        <w:t>Juhatuse pädevus</w:t>
      </w:r>
    </w:p>
    <w:p w14:paraId="49FE15D8" w14:textId="77777777" w:rsidR="00F84A91" w:rsidRPr="00DC6DB9" w:rsidRDefault="00F84A91" w:rsidP="00F84A91">
      <w:pPr>
        <w:pStyle w:val="Heading3"/>
        <w:tabs>
          <w:tab w:val="clear" w:pos="371"/>
          <w:tab w:val="num" w:pos="1320"/>
        </w:tabs>
        <w:ind w:left="1321" w:hanging="720"/>
        <w:rPr>
          <w:rFonts w:asciiTheme="minorBidi" w:hAnsiTheme="minorBidi" w:cstheme="minorBidi"/>
          <w:sz w:val="20"/>
          <w:szCs w:val="20"/>
        </w:rPr>
      </w:pPr>
      <w:r w:rsidRPr="00DC6DB9">
        <w:rPr>
          <w:rFonts w:asciiTheme="minorBidi" w:hAnsiTheme="minorBidi" w:cstheme="minorBidi"/>
          <w:sz w:val="20"/>
          <w:szCs w:val="20"/>
        </w:rPr>
        <w:t>Juhatus on seltsi juhtimisorgan, mis esindab ja juhib seltsi. Juhatus peab seltsi juhtimisel kinni pidama nõukogu seaduslikest korraldustest. Tehinguid ja toiminguid, mis väljuvad igapäevase majandustegevuse raamest, võib juhatus teha ainult nõukogu nõusolekul. Seltsi nõukogu võib oma otsusega kehtestada igapäevase majandustegevuse raamest väljuvate nõukogu nõusolekut vajavate  tehingute või muude toimingute loetelu ning tunnused.</w:t>
      </w:r>
    </w:p>
    <w:p w14:paraId="3398E72C" w14:textId="77777777" w:rsidR="00F84A91" w:rsidRPr="00DC6DB9" w:rsidRDefault="00F84A91" w:rsidP="00F84A91">
      <w:pPr>
        <w:pStyle w:val="Heading3"/>
        <w:tabs>
          <w:tab w:val="clear" w:pos="371"/>
          <w:tab w:val="num" w:pos="1320"/>
        </w:tabs>
        <w:ind w:left="1321" w:hanging="720"/>
        <w:rPr>
          <w:rFonts w:asciiTheme="minorBidi" w:hAnsiTheme="minorBidi" w:cstheme="minorBidi"/>
          <w:sz w:val="20"/>
          <w:szCs w:val="20"/>
        </w:rPr>
      </w:pPr>
      <w:r w:rsidRPr="00DC6DB9">
        <w:rPr>
          <w:rFonts w:asciiTheme="minorBidi" w:hAnsiTheme="minorBidi" w:cstheme="minorBidi"/>
          <w:sz w:val="20"/>
          <w:szCs w:val="20"/>
        </w:rPr>
        <w:t>Juhatus peab esitama nõukogule vähemalt kord nelja kuu jooksul ülevaate seltsi majandustegevusest ja majanduslikust olukorrast, samuti teatama koheselt seltsi majandusliku seisundi olulisest halvenemisest ja muudest seltsi majandustegevusega seotud olulistest asjaoludest.</w:t>
      </w:r>
    </w:p>
    <w:p w14:paraId="0BE94573" w14:textId="77777777" w:rsidR="00F84A91" w:rsidRPr="00006B30" w:rsidRDefault="00F84A91" w:rsidP="00F84A91">
      <w:pPr>
        <w:pStyle w:val="Heading3"/>
        <w:tabs>
          <w:tab w:val="clear" w:pos="371"/>
          <w:tab w:val="num" w:pos="1320"/>
        </w:tabs>
        <w:ind w:left="1321" w:hanging="720"/>
        <w:rPr>
          <w:rFonts w:asciiTheme="minorBidi" w:hAnsiTheme="minorBidi" w:cstheme="minorBidi"/>
          <w:sz w:val="20"/>
          <w:szCs w:val="20"/>
        </w:rPr>
      </w:pPr>
      <w:r w:rsidRPr="00006B30">
        <w:rPr>
          <w:rFonts w:asciiTheme="minorBidi" w:hAnsiTheme="minorBidi" w:cstheme="minorBidi"/>
          <w:sz w:val="20"/>
          <w:szCs w:val="20"/>
        </w:rPr>
        <w:t xml:space="preserve">Juhatuse otsus võetakse vastu lihthäälteenamusega. Seltsi juhatuse liikmetel on keelatud osa võtta hääletamisest, kui otsustatakse tema ja seltsi vahelise tehingu tegemiseks nõusoleku andmist, samuti juhul, kui otsustatakse tehingu tegemist </w:t>
      </w:r>
      <w:r w:rsidRPr="00006B30">
        <w:rPr>
          <w:rFonts w:asciiTheme="minorBidi" w:hAnsiTheme="minorBidi" w:cstheme="minorBidi"/>
          <w:sz w:val="20"/>
          <w:szCs w:val="20"/>
        </w:rPr>
        <w:lastRenderedPageBreak/>
        <w:t xml:space="preserve">seltsi ja juriidilise isiku vahel, milles sellisel juhatuse liikmel või tema lähikondsel on oluline osalus. </w:t>
      </w:r>
    </w:p>
    <w:p w14:paraId="0F1A04AD" w14:textId="77777777" w:rsidR="00F84A91" w:rsidRPr="00DF7B2F" w:rsidRDefault="00F84A91" w:rsidP="00F84A91">
      <w:pPr>
        <w:pStyle w:val="Heading3"/>
        <w:tabs>
          <w:tab w:val="clear" w:pos="371"/>
          <w:tab w:val="num" w:pos="1320"/>
        </w:tabs>
        <w:ind w:left="1321" w:hanging="720"/>
        <w:rPr>
          <w:rFonts w:ascii="Arial" w:hAnsi="Arial" w:cs="Arial"/>
          <w:sz w:val="20"/>
          <w:szCs w:val="20"/>
        </w:rPr>
      </w:pPr>
      <w:r w:rsidRPr="00DC6DB9">
        <w:rPr>
          <w:rFonts w:ascii="Arial" w:hAnsi="Arial" w:cs="Arial"/>
          <w:sz w:val="20"/>
          <w:szCs w:val="20"/>
        </w:rPr>
        <w:t>Juhatus korraldab</w:t>
      </w:r>
      <w:r>
        <w:rPr>
          <w:rFonts w:ascii="Arial" w:hAnsi="Arial" w:cs="Arial"/>
          <w:sz w:val="20"/>
          <w:szCs w:val="20"/>
        </w:rPr>
        <w:t xml:space="preserve"> sisekontrollisüsteemi toimimise ja järjekindla rakendamise. </w:t>
      </w:r>
    </w:p>
    <w:p w14:paraId="743227A7" w14:textId="77777777" w:rsidR="00F84A91" w:rsidRPr="00667C4E" w:rsidRDefault="00F84A91" w:rsidP="00F84A91">
      <w:pPr>
        <w:pStyle w:val="Heading2"/>
        <w:tabs>
          <w:tab w:val="clear" w:pos="720"/>
          <w:tab w:val="num" w:pos="567"/>
        </w:tabs>
        <w:rPr>
          <w:rFonts w:ascii="Arial" w:hAnsi="Arial" w:cs="Arial"/>
          <w:sz w:val="20"/>
          <w:szCs w:val="20"/>
        </w:rPr>
      </w:pPr>
      <w:r w:rsidRPr="00667C4E">
        <w:rPr>
          <w:rFonts w:ascii="Arial" w:hAnsi="Arial" w:cs="Arial"/>
          <w:sz w:val="20"/>
          <w:szCs w:val="20"/>
        </w:rPr>
        <w:t>Juhatuse liikmed</w:t>
      </w:r>
    </w:p>
    <w:p w14:paraId="43282475" w14:textId="77777777" w:rsidR="00F84A91" w:rsidRPr="00C47117" w:rsidRDefault="00F84A91" w:rsidP="00F84A91">
      <w:pPr>
        <w:pStyle w:val="Heading3"/>
        <w:numPr>
          <w:ilvl w:val="0"/>
          <w:numId w:val="0"/>
        </w:numPr>
        <w:ind w:left="601"/>
        <w:rPr>
          <w:rFonts w:ascii="Arial" w:hAnsi="Arial" w:cs="Arial"/>
          <w:sz w:val="20"/>
          <w:szCs w:val="20"/>
        </w:rPr>
      </w:pPr>
      <w:r w:rsidRPr="00667C4E">
        <w:rPr>
          <w:rFonts w:ascii="Arial" w:hAnsi="Arial" w:cs="Arial"/>
          <w:sz w:val="20"/>
          <w:szCs w:val="20"/>
        </w:rPr>
        <w:t xml:space="preserve">Juhatus koosneb </w:t>
      </w:r>
      <w:r>
        <w:rPr>
          <w:rFonts w:ascii="Arial" w:hAnsi="Arial" w:cs="Arial"/>
          <w:sz w:val="20"/>
          <w:szCs w:val="20"/>
        </w:rPr>
        <w:t>kahest (2) kuni viiest (5)</w:t>
      </w:r>
      <w:r w:rsidRPr="00667C4E">
        <w:rPr>
          <w:rFonts w:ascii="Arial" w:hAnsi="Arial" w:cs="Arial"/>
          <w:sz w:val="20"/>
          <w:szCs w:val="20"/>
        </w:rPr>
        <w:t xml:space="preserve"> liikmest. Juhatuse liikmed valitakse ja kutsutakse tagasi nõukogu otsusega. Juhatuse liikme volituste tähtaeg </w:t>
      </w:r>
      <w:r w:rsidRPr="003616B6">
        <w:rPr>
          <w:rFonts w:ascii="Arial" w:hAnsi="Arial" w:cs="Arial"/>
          <w:sz w:val="20"/>
          <w:szCs w:val="20"/>
        </w:rPr>
        <w:t>on kolm (3) aastat</w:t>
      </w:r>
      <w:r w:rsidRPr="00667C4E">
        <w:rPr>
          <w:rFonts w:ascii="Arial" w:hAnsi="Arial" w:cs="Arial"/>
          <w:sz w:val="20"/>
          <w:szCs w:val="20"/>
        </w:rPr>
        <w:t>.</w:t>
      </w:r>
    </w:p>
    <w:p w14:paraId="760B80D4" w14:textId="77777777" w:rsidR="00F84A91" w:rsidRPr="00667C4E" w:rsidRDefault="00F84A91" w:rsidP="00F84A91">
      <w:pPr>
        <w:pStyle w:val="Heading1"/>
        <w:tabs>
          <w:tab w:val="left" w:pos="567"/>
        </w:tabs>
        <w:spacing w:line="276" w:lineRule="auto"/>
        <w:ind w:left="-1" w:firstLine="0"/>
        <w:rPr>
          <w:rFonts w:ascii="Arial" w:hAnsi="Arial" w:cs="Arial"/>
          <w:sz w:val="20"/>
          <w:szCs w:val="20"/>
        </w:rPr>
      </w:pPr>
      <w:r w:rsidRPr="00667C4E">
        <w:rPr>
          <w:rFonts w:ascii="Arial" w:hAnsi="Arial" w:cs="Arial"/>
          <w:sz w:val="20"/>
          <w:szCs w:val="20"/>
        </w:rPr>
        <w:t>ESINDAMINE</w:t>
      </w:r>
    </w:p>
    <w:p w14:paraId="325A4D89" w14:textId="77777777" w:rsidR="00F84A91" w:rsidRPr="00667C4E" w:rsidRDefault="00F84A91" w:rsidP="00F84A91">
      <w:pPr>
        <w:pStyle w:val="Section11textRP"/>
        <w:rPr>
          <w:rFonts w:ascii="Arial" w:hAnsi="Arial" w:cs="Arial"/>
          <w:sz w:val="20"/>
          <w:szCs w:val="20"/>
        </w:rPr>
      </w:pPr>
      <w:r w:rsidRPr="00667C4E">
        <w:rPr>
          <w:rFonts w:ascii="Arial" w:hAnsi="Arial" w:cs="Arial"/>
          <w:sz w:val="20"/>
          <w:szCs w:val="20"/>
        </w:rPr>
        <w:t>Seltsi võib kõigis tehingutes või muudes õigustoimingutes esindada</w:t>
      </w:r>
      <w:r>
        <w:rPr>
          <w:rFonts w:ascii="Arial" w:hAnsi="Arial" w:cs="Arial"/>
          <w:sz w:val="20"/>
          <w:szCs w:val="20"/>
        </w:rPr>
        <w:t xml:space="preserve"> iga juhatuse liige</w:t>
      </w:r>
      <w:r w:rsidRPr="00667C4E">
        <w:rPr>
          <w:rFonts w:ascii="Arial" w:hAnsi="Arial" w:cs="Arial"/>
          <w:sz w:val="20"/>
          <w:szCs w:val="20"/>
        </w:rPr>
        <w:t>.</w:t>
      </w:r>
    </w:p>
    <w:p w14:paraId="4D5D58CF" w14:textId="77777777" w:rsidR="00F84A91" w:rsidRPr="00667C4E" w:rsidRDefault="00F84A91" w:rsidP="00F84A91">
      <w:pPr>
        <w:pStyle w:val="Heading1"/>
        <w:tabs>
          <w:tab w:val="left" w:pos="567"/>
        </w:tabs>
        <w:spacing w:line="276" w:lineRule="auto"/>
        <w:ind w:left="-1" w:firstLine="0"/>
        <w:rPr>
          <w:rFonts w:ascii="Arial" w:hAnsi="Arial" w:cs="Arial"/>
          <w:sz w:val="20"/>
          <w:szCs w:val="20"/>
        </w:rPr>
      </w:pPr>
      <w:r w:rsidRPr="00667C4E">
        <w:rPr>
          <w:rFonts w:ascii="Arial" w:hAnsi="Arial" w:cs="Arial"/>
          <w:sz w:val="20"/>
          <w:szCs w:val="20"/>
        </w:rPr>
        <w:t>AUDIITOR</w:t>
      </w:r>
    </w:p>
    <w:p w14:paraId="1124E773" w14:textId="77777777" w:rsidR="00F84A91" w:rsidRPr="00667C4E" w:rsidRDefault="00F84A91" w:rsidP="00F84A91">
      <w:pPr>
        <w:pStyle w:val="Section11textRP"/>
        <w:rPr>
          <w:rFonts w:ascii="Arial" w:hAnsi="Arial" w:cs="Arial"/>
          <w:sz w:val="20"/>
          <w:szCs w:val="20"/>
        </w:rPr>
      </w:pPr>
      <w:r w:rsidRPr="00667C4E">
        <w:rPr>
          <w:rFonts w:ascii="Arial" w:hAnsi="Arial" w:cs="Arial"/>
          <w:sz w:val="20"/>
          <w:szCs w:val="20"/>
        </w:rPr>
        <w:t>Audiitorite arvu määrab ja audiitori(d) nimetab aktsionäride üldkoosolek. Audiitor(id) nimetatakse ühekordse audiitorkontrolli tegemiseks või teatud tähtajaks.</w:t>
      </w:r>
    </w:p>
    <w:p w14:paraId="4FCFEFFB" w14:textId="77777777" w:rsidR="00F84A91" w:rsidRPr="00662883" w:rsidRDefault="00F84A91" w:rsidP="00F84A91">
      <w:pPr>
        <w:pStyle w:val="Heading1"/>
        <w:tabs>
          <w:tab w:val="clear" w:pos="709"/>
          <w:tab w:val="num" w:pos="567"/>
        </w:tabs>
        <w:rPr>
          <w:rFonts w:asciiTheme="minorBidi" w:hAnsiTheme="minorBidi" w:cstheme="minorBidi"/>
          <w:sz w:val="20"/>
          <w:szCs w:val="20"/>
        </w:rPr>
      </w:pPr>
      <w:r w:rsidRPr="00662883">
        <w:rPr>
          <w:rFonts w:asciiTheme="minorBidi" w:hAnsiTheme="minorBidi" w:cstheme="minorBidi"/>
          <w:sz w:val="20"/>
          <w:szCs w:val="20"/>
        </w:rPr>
        <w:t>MAJANDUSAASTA</w:t>
      </w:r>
    </w:p>
    <w:p w14:paraId="77365BC7" w14:textId="77777777" w:rsidR="00F84A91" w:rsidRPr="00662883" w:rsidRDefault="00F84A91" w:rsidP="00F84A91">
      <w:pPr>
        <w:pStyle w:val="Section11textRP"/>
        <w:rPr>
          <w:rFonts w:asciiTheme="minorBidi" w:hAnsiTheme="minorBidi" w:cstheme="minorBidi"/>
          <w:sz w:val="20"/>
          <w:szCs w:val="20"/>
        </w:rPr>
      </w:pPr>
      <w:r w:rsidRPr="00662883">
        <w:rPr>
          <w:rFonts w:asciiTheme="minorBidi" w:hAnsiTheme="minorBidi" w:cstheme="minorBidi"/>
          <w:sz w:val="20"/>
          <w:szCs w:val="20"/>
        </w:rPr>
        <w:t>Seltsi majandusaasta on kalendriaasta, st majandusaasta algab 1. jaanuaril ja lõpeb 31. detsembril.</w:t>
      </w:r>
    </w:p>
    <w:p w14:paraId="7B6BDB33" w14:textId="77777777" w:rsidR="00F84A91" w:rsidRDefault="00F84A91" w:rsidP="00F84A91">
      <w:pPr>
        <w:pStyle w:val="Heading1"/>
        <w:tabs>
          <w:tab w:val="left" w:pos="567"/>
        </w:tabs>
        <w:spacing w:line="276" w:lineRule="auto"/>
        <w:ind w:left="-1" w:firstLine="0"/>
        <w:rPr>
          <w:rFonts w:asciiTheme="minorBidi" w:hAnsiTheme="minorBidi" w:cstheme="minorBidi"/>
          <w:sz w:val="20"/>
          <w:szCs w:val="20"/>
        </w:rPr>
      </w:pPr>
      <w:r>
        <w:rPr>
          <w:rFonts w:asciiTheme="minorBidi" w:hAnsiTheme="minorBidi" w:cstheme="minorBidi"/>
          <w:sz w:val="20"/>
          <w:szCs w:val="20"/>
        </w:rPr>
        <w:t xml:space="preserve">ARUANDLUS </w:t>
      </w:r>
    </w:p>
    <w:p w14:paraId="73C521BE" w14:textId="77777777" w:rsidR="00F84A91" w:rsidRPr="00BF5365" w:rsidRDefault="00F84A91" w:rsidP="00F84A91">
      <w:pPr>
        <w:pStyle w:val="Heading2"/>
        <w:ind w:left="567" w:hanging="567"/>
        <w:rPr>
          <w:rFonts w:asciiTheme="minorBidi" w:hAnsiTheme="minorBidi" w:cstheme="minorBidi"/>
          <w:b w:val="0"/>
          <w:bCs/>
          <w:sz w:val="20"/>
          <w:szCs w:val="20"/>
        </w:rPr>
      </w:pPr>
      <w:r w:rsidRPr="00BF5365">
        <w:rPr>
          <w:rFonts w:asciiTheme="minorBidi" w:hAnsiTheme="minorBidi" w:cstheme="minorBidi"/>
          <w:b w:val="0"/>
          <w:bCs/>
          <w:sz w:val="20"/>
          <w:szCs w:val="20"/>
        </w:rPr>
        <w:t xml:space="preserve">Seltsi majandusaasta aruanne koostatakse ja kinnitatakse seaduses sätestatud korras. Selts avalikustab majandusaasta aruande </w:t>
      </w:r>
      <w:r w:rsidRPr="00006B30">
        <w:rPr>
          <w:rFonts w:asciiTheme="minorBidi" w:hAnsiTheme="minorBidi" w:cstheme="minorBidi"/>
          <w:b w:val="0"/>
          <w:bCs/>
          <w:sz w:val="20"/>
          <w:szCs w:val="20"/>
        </w:rPr>
        <w:t>seaduses ja reguleeritud turu, kus aktsiaseltsi väärtpaberid on noteeritud või kauplemisele võetud, reglemendis sätestatud ajal ja korras.</w:t>
      </w:r>
    </w:p>
    <w:p w14:paraId="6CAC7DB7" w14:textId="77777777" w:rsidR="00F84A91" w:rsidRPr="00662883" w:rsidRDefault="00F84A91" w:rsidP="00F84A91">
      <w:pPr>
        <w:pStyle w:val="Heading1"/>
        <w:tabs>
          <w:tab w:val="left" w:pos="567"/>
        </w:tabs>
        <w:spacing w:line="276" w:lineRule="auto"/>
        <w:ind w:left="-1" w:firstLine="0"/>
        <w:rPr>
          <w:rFonts w:asciiTheme="minorBidi" w:hAnsiTheme="minorBidi" w:cstheme="minorBidi"/>
          <w:sz w:val="20"/>
          <w:szCs w:val="20"/>
        </w:rPr>
      </w:pPr>
      <w:r>
        <w:rPr>
          <w:rFonts w:asciiTheme="minorBidi" w:hAnsiTheme="minorBidi" w:cstheme="minorBidi"/>
          <w:sz w:val="20"/>
          <w:szCs w:val="20"/>
        </w:rPr>
        <w:t xml:space="preserve">KASUMI JAOTAMINE </w:t>
      </w:r>
    </w:p>
    <w:p w14:paraId="305FD3E3" w14:textId="77777777" w:rsidR="00F84A91" w:rsidRPr="001409A4" w:rsidRDefault="00F84A91" w:rsidP="00F84A91">
      <w:pPr>
        <w:pStyle w:val="Heading2"/>
        <w:ind w:left="567" w:hanging="567"/>
        <w:rPr>
          <w:rFonts w:asciiTheme="minorBidi" w:hAnsiTheme="minorBidi" w:cstheme="minorBidi"/>
          <w:b w:val="0"/>
          <w:bCs/>
          <w:sz w:val="20"/>
          <w:szCs w:val="20"/>
        </w:rPr>
      </w:pPr>
      <w:r w:rsidRPr="001409A4">
        <w:rPr>
          <w:rFonts w:asciiTheme="minorBidi" w:hAnsiTheme="minorBidi" w:cstheme="minorBidi"/>
          <w:b w:val="0"/>
          <w:bCs/>
          <w:sz w:val="20"/>
          <w:szCs w:val="20"/>
        </w:rPr>
        <w:t xml:space="preserve">Kasumi jaotamise otsuse võtab vastu üldkoosolek kinnitatud raamatupidamise aastaaruande alusel, näidates ära kasumi suuruse, eraldised reservfondi ja teistesse reservidesse, aktsionäridele väljamakstava kasumiosa suuruse ja kasumi kasutamise muuks otstarbeks. </w:t>
      </w:r>
    </w:p>
    <w:p w14:paraId="67506F6C" w14:textId="77777777" w:rsidR="00F84A91" w:rsidRPr="001409A4" w:rsidRDefault="00F84A91" w:rsidP="00F84A91">
      <w:pPr>
        <w:pStyle w:val="Heading2"/>
        <w:ind w:left="567" w:hanging="567"/>
        <w:rPr>
          <w:rFonts w:asciiTheme="minorBidi" w:hAnsiTheme="minorBidi" w:cstheme="minorBidi"/>
          <w:b w:val="0"/>
          <w:bCs/>
          <w:sz w:val="20"/>
          <w:szCs w:val="20"/>
        </w:rPr>
      </w:pPr>
      <w:r w:rsidRPr="001409A4">
        <w:rPr>
          <w:rFonts w:asciiTheme="minorBidi" w:hAnsiTheme="minorBidi" w:cstheme="minorBidi"/>
          <w:b w:val="0"/>
          <w:bCs/>
          <w:sz w:val="20"/>
          <w:szCs w:val="20"/>
        </w:rPr>
        <w:t>Juhatusel on õigus teha nõukogu nõusolekul pärast majandusaasta möödumist ja enne majandusaasta aruande kinnitamist aktsionäridele ettemakseid eeldatava kasumi arvel kuni poole ulatuses summast, mida võib aktsionäride vahel jaotada.</w:t>
      </w:r>
    </w:p>
    <w:p w14:paraId="13CF78C6" w14:textId="77777777" w:rsidR="00F84A91" w:rsidRPr="00662883" w:rsidRDefault="00F84A91" w:rsidP="00F84A91">
      <w:pPr>
        <w:pStyle w:val="Heading1"/>
        <w:tabs>
          <w:tab w:val="left" w:pos="567"/>
        </w:tabs>
        <w:spacing w:line="276" w:lineRule="auto"/>
        <w:ind w:left="-1" w:firstLine="0"/>
        <w:rPr>
          <w:rFonts w:asciiTheme="minorBidi" w:hAnsiTheme="minorBidi" w:cstheme="minorBidi"/>
          <w:sz w:val="20"/>
          <w:szCs w:val="20"/>
        </w:rPr>
      </w:pPr>
      <w:r w:rsidRPr="00662883">
        <w:rPr>
          <w:rFonts w:asciiTheme="minorBidi" w:hAnsiTheme="minorBidi" w:cstheme="minorBidi"/>
          <w:sz w:val="20"/>
          <w:szCs w:val="20"/>
        </w:rPr>
        <w:t>RESERVKAPITAL</w:t>
      </w:r>
    </w:p>
    <w:p w14:paraId="1959050C" w14:textId="77777777" w:rsidR="00F84A91" w:rsidRPr="00662883" w:rsidRDefault="00F84A91" w:rsidP="00F84A91">
      <w:pPr>
        <w:spacing w:before="120" w:after="120" w:line="276" w:lineRule="auto"/>
        <w:ind w:left="567"/>
        <w:jc w:val="both"/>
        <w:rPr>
          <w:rFonts w:asciiTheme="minorBidi" w:hAnsiTheme="minorBidi" w:cstheme="minorBidi"/>
          <w:sz w:val="20"/>
          <w:szCs w:val="20"/>
          <w:lang w:val="et-EE"/>
        </w:rPr>
      </w:pPr>
      <w:r w:rsidRPr="00662883">
        <w:rPr>
          <w:rFonts w:asciiTheme="minorBidi" w:hAnsiTheme="minorBidi" w:cstheme="minorBidi"/>
          <w:sz w:val="20"/>
          <w:szCs w:val="20"/>
          <w:lang w:val="et-EE"/>
        </w:rPr>
        <w:t>Seltsi reservkapitali suurus on 1/10 aktsiakapitalist, kui seadus ei sätesta teisiti. Igal majandusaastal reservkapitali kantava summa otsustavad aktsionärid kooskõlas seaduse ja põhikirjaga.</w:t>
      </w:r>
    </w:p>
    <w:bookmarkEnd w:id="0"/>
    <w:bookmarkEnd w:id="1"/>
    <w:bookmarkEnd w:id="2"/>
    <w:bookmarkEnd w:id="3"/>
    <w:bookmarkEnd w:id="4"/>
    <w:bookmarkEnd w:id="5"/>
    <w:bookmarkEnd w:id="8"/>
    <w:bookmarkEnd w:id="9"/>
    <w:bookmarkEnd w:id="10"/>
    <w:bookmarkEnd w:id="11"/>
    <w:bookmarkEnd w:id="12"/>
    <w:p w14:paraId="07234AEB" w14:textId="77777777" w:rsidR="00F84A91" w:rsidRPr="00064911" w:rsidRDefault="00F84A91" w:rsidP="00F84A91">
      <w:pPr>
        <w:pStyle w:val="Heading1"/>
        <w:tabs>
          <w:tab w:val="clear" w:pos="709"/>
          <w:tab w:val="left" w:pos="567"/>
          <w:tab w:val="num" w:pos="600"/>
        </w:tabs>
        <w:spacing w:line="276" w:lineRule="auto"/>
        <w:ind w:left="-1" w:firstLine="0"/>
        <w:rPr>
          <w:rFonts w:asciiTheme="minorBidi" w:hAnsiTheme="minorBidi" w:cstheme="minorBidi"/>
          <w:sz w:val="20"/>
          <w:szCs w:val="20"/>
        </w:rPr>
      </w:pPr>
      <w:r w:rsidRPr="00064911">
        <w:rPr>
          <w:rFonts w:asciiTheme="minorBidi" w:hAnsiTheme="minorBidi" w:cstheme="minorBidi"/>
          <w:sz w:val="20"/>
          <w:szCs w:val="20"/>
        </w:rPr>
        <w:t xml:space="preserve">ÜHINEMINE, JAGUNEMINE, ÜMBERKUJUNDAMINE JA LÕPETAMINE </w:t>
      </w:r>
    </w:p>
    <w:p w14:paraId="6FFDDDA1" w14:textId="77777777" w:rsidR="00F84A91" w:rsidRPr="00064911" w:rsidRDefault="00F84A91" w:rsidP="00F84A91">
      <w:pPr>
        <w:pStyle w:val="Heading3"/>
        <w:numPr>
          <w:ilvl w:val="0"/>
          <w:numId w:val="0"/>
        </w:numPr>
        <w:ind w:left="567"/>
        <w:rPr>
          <w:rFonts w:asciiTheme="minorBidi" w:hAnsiTheme="minorBidi" w:cstheme="minorBidi"/>
          <w:sz w:val="20"/>
          <w:szCs w:val="20"/>
        </w:rPr>
      </w:pPr>
      <w:r>
        <w:rPr>
          <w:rFonts w:asciiTheme="minorBidi" w:hAnsiTheme="minorBidi" w:cstheme="minorBidi"/>
          <w:sz w:val="20"/>
          <w:szCs w:val="20"/>
        </w:rPr>
        <w:t>S</w:t>
      </w:r>
      <w:r w:rsidRPr="00064911">
        <w:rPr>
          <w:rFonts w:asciiTheme="minorBidi" w:hAnsiTheme="minorBidi" w:cstheme="minorBidi"/>
          <w:sz w:val="20"/>
          <w:szCs w:val="20"/>
        </w:rPr>
        <w:t xml:space="preserve">eltsi likvideerimine, ühinemine, jagunemine ja ümberkujundamine toimub seaduses sätestatud korras. </w:t>
      </w:r>
      <w:r>
        <w:rPr>
          <w:rFonts w:asciiTheme="minorBidi" w:hAnsiTheme="minorBidi" w:cstheme="minorBidi"/>
          <w:sz w:val="20"/>
          <w:szCs w:val="20"/>
        </w:rPr>
        <w:t>S</w:t>
      </w:r>
      <w:r w:rsidRPr="00064911">
        <w:rPr>
          <w:rFonts w:asciiTheme="minorBidi" w:hAnsiTheme="minorBidi" w:cstheme="minorBidi"/>
          <w:sz w:val="20"/>
          <w:szCs w:val="20"/>
        </w:rPr>
        <w:t xml:space="preserve">eltsi likvideerijateks on juhatuse liikmed, kui aktsionäride otsuse või kohtumäärusega ei ole määratud teisiti. </w:t>
      </w:r>
    </w:p>
    <w:p w14:paraId="792C5588" w14:textId="77777777" w:rsidR="00F84A91" w:rsidRPr="00064911" w:rsidRDefault="00F84A91" w:rsidP="00F84A91">
      <w:pPr>
        <w:pStyle w:val="Section11textRP"/>
      </w:pPr>
    </w:p>
    <w:p w14:paraId="34DA3FEA" w14:textId="77777777" w:rsidR="00F84A91" w:rsidRPr="00006B30" w:rsidRDefault="00F84A91" w:rsidP="00F84A91">
      <w:pPr>
        <w:pStyle w:val="BodyText"/>
        <w:ind w:left="0"/>
        <w:jc w:val="center"/>
        <w:rPr>
          <w:rFonts w:ascii="Arial" w:hAnsi="Arial" w:cs="Arial"/>
          <w:sz w:val="20"/>
          <w:szCs w:val="20"/>
          <w:lang w:val="et-EE"/>
        </w:rPr>
      </w:pPr>
      <w:r w:rsidRPr="00006B30">
        <w:rPr>
          <w:rFonts w:ascii="Arial" w:hAnsi="Arial" w:cs="Arial"/>
          <w:sz w:val="20"/>
          <w:szCs w:val="20"/>
          <w:lang w:val="et-EE"/>
        </w:rPr>
        <w:t>Käesoleva põhikirja on kinnitanud seltsi aktsionärid</w:t>
      </w:r>
    </w:p>
    <w:p w14:paraId="7AC98D06" w14:textId="12082F55" w:rsidR="00843C3E" w:rsidRPr="00F84A91" w:rsidRDefault="00006B30" w:rsidP="00F84A91">
      <w:pPr>
        <w:pStyle w:val="BodyText"/>
        <w:ind w:left="0"/>
        <w:jc w:val="center"/>
        <w:rPr>
          <w:rFonts w:ascii="Arial" w:hAnsi="Arial" w:cs="Arial"/>
          <w:sz w:val="20"/>
          <w:szCs w:val="20"/>
          <w:lang w:val="et-EE"/>
        </w:rPr>
      </w:pPr>
      <w:r w:rsidRPr="00006B30">
        <w:rPr>
          <w:rFonts w:ascii="Arial" w:hAnsi="Arial" w:cs="Arial"/>
          <w:sz w:val="20"/>
          <w:szCs w:val="20"/>
          <w:lang w:val="et-EE"/>
        </w:rPr>
        <w:t>04.06.2025</w:t>
      </w:r>
      <w:r w:rsidR="00F84A91" w:rsidRPr="00006B30">
        <w:rPr>
          <w:rFonts w:ascii="Arial" w:hAnsi="Arial" w:cs="Arial"/>
          <w:sz w:val="20"/>
          <w:szCs w:val="20"/>
          <w:lang w:val="et-EE"/>
        </w:rPr>
        <w:t xml:space="preserve"> aktsionäride üldkoosoleku otsusega</w:t>
      </w:r>
    </w:p>
    <w:sectPr w:rsidR="00843C3E" w:rsidRPr="00F84A91" w:rsidSect="008A580E">
      <w:headerReference w:type="default" r:id="rId9"/>
      <w:footerReference w:type="even" r:id="rId10"/>
      <w:footerReference w:type="default" r:id="rId11"/>
      <w:headerReference w:type="first" r:id="rId12"/>
      <w:footerReference w:type="first" r:id="rId13"/>
      <w:pgSz w:w="12240" w:h="15840" w:code="1"/>
      <w:pgMar w:top="1440" w:right="1797" w:bottom="1440" w:left="1797"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413E7" w14:textId="77777777" w:rsidR="001824CC" w:rsidRDefault="001824CC" w:rsidP="00014844">
      <w:r>
        <w:separator/>
      </w:r>
    </w:p>
  </w:endnote>
  <w:endnote w:type="continuationSeparator" w:id="0">
    <w:p w14:paraId="74EBC801" w14:textId="77777777" w:rsidR="001824CC" w:rsidRDefault="001824CC" w:rsidP="0001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Cambria"/>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DE5A" w14:textId="77777777" w:rsidR="005E5867" w:rsidRDefault="00B84A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FF11D0" w14:textId="77777777" w:rsidR="005E5867" w:rsidRDefault="005E5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5243" w14:textId="77777777" w:rsidR="005E5867" w:rsidRPr="00813286" w:rsidRDefault="00B84A18">
    <w:pPr>
      <w:pStyle w:val="Footer"/>
      <w:framePr w:wrap="around" w:vAnchor="text" w:hAnchor="margin" w:xAlign="center" w:y="1"/>
      <w:rPr>
        <w:rStyle w:val="PageNumber"/>
        <w:rFonts w:ascii="Arial" w:hAnsi="Arial" w:cs="Arial"/>
        <w:sz w:val="20"/>
      </w:rPr>
    </w:pPr>
    <w:r w:rsidRPr="00813286">
      <w:rPr>
        <w:rStyle w:val="PageNumber"/>
        <w:rFonts w:ascii="Arial" w:hAnsi="Arial" w:cs="Arial"/>
        <w:sz w:val="20"/>
      </w:rPr>
      <w:fldChar w:fldCharType="begin"/>
    </w:r>
    <w:r w:rsidRPr="00813286">
      <w:rPr>
        <w:rStyle w:val="PageNumber"/>
        <w:rFonts w:ascii="Arial" w:hAnsi="Arial" w:cs="Arial"/>
        <w:sz w:val="20"/>
      </w:rPr>
      <w:instrText xml:space="preserve">PAGE  </w:instrText>
    </w:r>
    <w:r w:rsidRPr="00813286">
      <w:rPr>
        <w:rStyle w:val="PageNumber"/>
        <w:rFonts w:ascii="Arial" w:hAnsi="Arial" w:cs="Arial"/>
        <w:sz w:val="20"/>
      </w:rPr>
      <w:fldChar w:fldCharType="separate"/>
    </w:r>
    <w:r w:rsidRPr="00813286">
      <w:rPr>
        <w:rStyle w:val="PageNumber"/>
        <w:rFonts w:ascii="Arial" w:hAnsi="Arial" w:cs="Arial"/>
        <w:noProof/>
        <w:sz w:val="20"/>
      </w:rPr>
      <w:t>8</w:t>
    </w:r>
    <w:r w:rsidRPr="00813286">
      <w:rPr>
        <w:rStyle w:val="PageNumber"/>
        <w:rFonts w:ascii="Arial" w:hAnsi="Arial" w:cs="Arial"/>
        <w:sz w:val="20"/>
      </w:rPr>
      <w:fldChar w:fldCharType="end"/>
    </w:r>
  </w:p>
  <w:p w14:paraId="3E4D95C1" w14:textId="20778F95" w:rsidR="005E5867" w:rsidRDefault="005E5867">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CA17" w14:textId="7EE2030A" w:rsidR="005E5867" w:rsidRDefault="004F501D">
    <w:pPr>
      <w:pStyle w:val="Footer"/>
    </w:pPr>
    <w:r>
      <w:rPr>
        <w:noProof/>
      </w:rPr>
      <mc:AlternateContent>
        <mc:Choice Requires="wps">
          <w:drawing>
            <wp:anchor distT="0" distB="0" distL="114300" distR="114300" simplePos="0" relativeHeight="251660288" behindDoc="0" locked="0" layoutInCell="1" allowOverlap="1" wp14:anchorId="6AAF226F" wp14:editId="1E3553F1">
              <wp:simplePos x="0" y="0"/>
              <wp:positionH relativeFrom="column">
                <wp:posOffset>-988695</wp:posOffset>
              </wp:positionH>
              <wp:positionV relativeFrom="paragraph">
                <wp:posOffset>288925</wp:posOffset>
              </wp:positionV>
              <wp:extent cx="177800" cy="635000"/>
              <wp:effectExtent l="11430" t="12700" r="1079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635000"/>
                      </a:xfrm>
                      <a:prstGeom prst="rect">
                        <a:avLst/>
                      </a:prstGeom>
                      <a:solidFill>
                        <a:srgbClr val="FFFFFF"/>
                      </a:solidFill>
                      <a:ln w="9525">
                        <a:solidFill>
                          <a:srgbClr val="FFFFFF"/>
                        </a:solidFill>
                        <a:miter lim="800000"/>
                        <a:headEnd/>
                        <a:tailEnd/>
                      </a:ln>
                    </wps:spPr>
                    <wps:txbx>
                      <w:txbxContent>
                        <w:p w14:paraId="33DAC740" w14:textId="77777777" w:rsidR="005E5867" w:rsidRDefault="00B84A18">
                          <w:pPr>
                            <w:rPr>
                              <w:rFonts w:ascii="Arial" w:hAnsi="Arial" w:cs="Arial"/>
                              <w:sz w:val="10"/>
                            </w:rPr>
                          </w:pPr>
                          <w:r>
                            <w:rPr>
                              <w:rFonts w:ascii="Arial" w:hAnsi="Arial" w:cs="Arial"/>
                              <w:sz w:val="10"/>
                            </w:rPr>
                            <w:t>147768_v4</w:t>
                          </w:r>
                        </w:p>
                      </w:txbxContent>
                    </wps:txbx>
                    <wps:bodyPr rot="0" vert="vert"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F226F" id="_x0000_t202" coordsize="21600,21600" o:spt="202" path="m,l,21600r21600,l21600,xe">
              <v:stroke joinstyle="miter"/>
              <v:path gradientshapeok="t" o:connecttype="rect"/>
            </v:shapetype>
            <v:shape id="Text Box 1" o:spid="_x0000_s1026" type="#_x0000_t202" style="position:absolute;margin-left:-77.85pt;margin-top:22.75pt;width:14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" strokecolor="white">
              <v:textbox style="layout-flow:vertical" inset=".1pt,.1pt,.1pt,.1pt">
                <w:txbxContent>
                  <w:p w14:paraId="33DAC740" w14:textId="77777777" w:rsidR="00216458" w:rsidRDefault="00B84A18">
                    <w:pPr>
                      <w:rPr>
                        <w:rFonts w:ascii="Arial" w:hAnsi="Arial" w:cs="Arial"/>
                        <w:sz w:val="10"/>
                      </w:rPr>
                    </w:pPr>
                    <w:r>
                      <w:rPr>
                        <w:rFonts w:ascii="Arial" w:hAnsi="Arial" w:cs="Arial"/>
                        <w:sz w:val="10"/>
                      </w:rPr>
                      <w:t>147768_v4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3A984" w14:textId="77777777" w:rsidR="001824CC" w:rsidRDefault="001824CC" w:rsidP="00014844">
      <w:r>
        <w:separator/>
      </w:r>
    </w:p>
  </w:footnote>
  <w:footnote w:type="continuationSeparator" w:id="0">
    <w:p w14:paraId="23E8D95F" w14:textId="77777777" w:rsidR="001824CC" w:rsidRDefault="001824CC" w:rsidP="0001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8251" w14:textId="75CCBF63" w:rsidR="008A580E" w:rsidRDefault="008A580E" w:rsidP="008A580E">
    <w:pPr>
      <w:pStyle w:val="Header"/>
      <w:jc w:val="right"/>
    </w:pPr>
    <w:r w:rsidRPr="00034FFB">
      <w:rPr>
        <w:noProof/>
      </w:rPr>
      <w:drawing>
        <wp:inline distT="0" distB="0" distL="0" distR="0" wp14:anchorId="15E7C529" wp14:editId="30422D33">
          <wp:extent cx="12763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p>
  <w:p w14:paraId="234A906C" w14:textId="77777777" w:rsidR="005E5867" w:rsidRDefault="005E5867" w:rsidP="004721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CCAB" w14:textId="185FCB79" w:rsidR="008A580E" w:rsidRDefault="008A580E" w:rsidP="008A580E">
    <w:pPr>
      <w:pStyle w:val="Header"/>
      <w:jc w:val="right"/>
    </w:pPr>
    <w:r w:rsidRPr="00034FFB">
      <w:rPr>
        <w:noProof/>
      </w:rPr>
      <w:drawing>
        <wp:inline distT="0" distB="0" distL="0" distR="0" wp14:anchorId="41E510F8" wp14:editId="6AF01B9A">
          <wp:extent cx="127635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p>
  <w:p w14:paraId="42817066" w14:textId="77777777" w:rsidR="005E5867" w:rsidRPr="004721F5" w:rsidRDefault="005E5867" w:rsidP="004721F5">
    <w:pPr>
      <w:pStyle w:val="Text"/>
      <w:spacing w:after="0"/>
      <w:ind w:left="0"/>
      <w:jc w:val="right"/>
      <w:rPr>
        <w:rFonts w:ascii="Arial" w:hAnsi="Arial" w:cs="Arial"/>
        <w:sz w:val="21"/>
        <w:szCs w:val="21"/>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76B2C"/>
    <w:multiLevelType w:val="multilevel"/>
    <w:tmpl w:val="F65E1844"/>
    <w:lvl w:ilvl="0">
      <w:start w:val="1"/>
      <w:numFmt w:val="decimal"/>
      <w:pStyle w:val="Heading1"/>
      <w:lvlText w:val="%1."/>
      <w:lvlJc w:val="left"/>
      <w:pPr>
        <w:tabs>
          <w:tab w:val="num" w:pos="709"/>
        </w:tabs>
        <w:ind w:left="709" w:hanging="709"/>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isLgl/>
      <w:lvlText w:val="%1.%2"/>
      <w:lvlJc w:val="left"/>
      <w:pPr>
        <w:tabs>
          <w:tab w:val="num" w:pos="720"/>
        </w:tabs>
        <w:ind w:left="0" w:firstLine="0"/>
      </w:pPr>
      <w:rPr>
        <w:rFonts w:ascii="Arial" w:hAnsi="Arial" w:cs="Arial" w:hint="default"/>
        <w:b/>
        <w:bCs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decimal"/>
      <w:pStyle w:val="Heading3"/>
      <w:isLgl/>
      <w:lvlText w:val="%1.%2.%3"/>
      <w:lvlJc w:val="left"/>
      <w:pPr>
        <w:tabs>
          <w:tab w:val="num" w:pos="371"/>
        </w:tabs>
        <w:ind w:left="1080" w:firstLine="0"/>
      </w:pPr>
      <w:rPr>
        <w:rFonts w:ascii="Arial" w:hAnsi="Arial" w:cs="Arial"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3">
      <w:start w:val="1"/>
      <w:numFmt w:val="lowerLetter"/>
      <w:pStyle w:val="Heading4"/>
      <w:lvlText w:val="(%4)"/>
      <w:lvlJc w:val="left"/>
      <w:pPr>
        <w:tabs>
          <w:tab w:val="num" w:pos="0"/>
        </w:tabs>
        <w:ind w:left="1418"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lvlRestart w:val="0"/>
      <w:pStyle w:val="Heading5"/>
      <w:suff w:val="nothing"/>
      <w:lvlText w:val="SCHEDULE %5"/>
      <w:lvlJc w:val="left"/>
      <w:pPr>
        <w:ind w:left="0" w:firstLine="0"/>
      </w:pPr>
      <w:rPr>
        <w:rFonts w:ascii="Times New Roman Bold" w:hAnsi="Times New Roman Bold"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pStyle w:val="Heading6"/>
      <w:lvlText w:val="%6."/>
      <w:lvlJc w:val="left"/>
      <w:pPr>
        <w:tabs>
          <w:tab w:val="num" w:pos="709"/>
        </w:tabs>
        <w:ind w:left="709" w:hanging="709"/>
      </w:pPr>
      <w:rPr>
        <w:rFonts w:ascii="Garamond" w:hAnsi="Garamond"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pStyle w:val="Heading7"/>
      <w:lvlText w:val="%6.%7"/>
      <w:lvlJc w:val="left"/>
      <w:pPr>
        <w:tabs>
          <w:tab w:val="num" w:pos="709"/>
        </w:tabs>
        <w:ind w:left="709" w:hanging="709"/>
      </w:pPr>
      <w:rPr>
        <w:rFonts w:ascii="Garamond" w:hAnsi="Garamond" w:hint="default"/>
        <w:b/>
        <w:i w:val="0"/>
        <w: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decimal"/>
      <w:pStyle w:val="Heading8"/>
      <w:lvlText w:val="%6.%7.%8"/>
      <w:lvlJc w:val="left"/>
      <w:pPr>
        <w:tabs>
          <w:tab w:val="num" w:pos="0"/>
        </w:tabs>
        <w:ind w:left="709" w:hanging="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8">
      <w:start w:val="1"/>
      <w:numFmt w:val="upperLetter"/>
      <w:pStyle w:val="Heading9"/>
      <w:suff w:val="nothing"/>
      <w:lvlText w:val="EXHIBIT %9"/>
      <w:lvlJc w:val="left"/>
      <w:pPr>
        <w:ind w:left="0" w:firstLine="0"/>
      </w:pPr>
      <w:rPr>
        <w:rFonts w:ascii="Times New Roman Bold" w:hAnsi="Times New Roman Bold" w:hint="default"/>
        <w:b/>
        <w:i w:val="0"/>
        <w:caps w:val="0"/>
        <w:strike w:val="0"/>
        <w:dstrike w:val="0"/>
        <w:outline w:val="0"/>
        <w:shadow w:val="0"/>
        <w:emboss w:val="0"/>
        <w:imprint w:val="0"/>
        <w:vanish w:val="0"/>
        <w:color w:val="auto"/>
        <w:spacing w:val="0"/>
        <w:w w:val="100"/>
        <w:kern w:val="0"/>
        <w:position w:val="0"/>
        <w:u w:val="none"/>
        <w:effect w:val="none"/>
        <w:vertAlign w:val="baseline"/>
      </w:rPr>
    </w:lvl>
  </w:abstractNum>
  <w:num w:numId="1" w16cid:durableId="1338998076">
    <w:abstractNumId w:val="0"/>
  </w:num>
  <w:num w:numId="2" w16cid:durableId="1650475066">
    <w:abstractNumId w:val="0"/>
  </w:num>
  <w:num w:numId="3" w16cid:durableId="2006082435">
    <w:abstractNumId w:val="0"/>
  </w:num>
  <w:num w:numId="4" w16cid:durableId="318460040">
    <w:abstractNumId w:val="0"/>
  </w:num>
  <w:num w:numId="5" w16cid:durableId="313605532">
    <w:abstractNumId w:val="0"/>
  </w:num>
  <w:num w:numId="6" w16cid:durableId="2031300509">
    <w:abstractNumId w:val="0"/>
  </w:num>
  <w:num w:numId="7" w16cid:durableId="1446847815">
    <w:abstractNumId w:val="0"/>
  </w:num>
  <w:num w:numId="8" w16cid:durableId="1228805921">
    <w:abstractNumId w:val="0"/>
  </w:num>
  <w:num w:numId="9" w16cid:durableId="1549563753">
    <w:abstractNumId w:val="0"/>
  </w:num>
  <w:num w:numId="10" w16cid:durableId="1745951968">
    <w:abstractNumId w:val="0"/>
  </w:num>
  <w:num w:numId="11" w16cid:durableId="251548031">
    <w:abstractNumId w:val="0"/>
  </w:num>
  <w:num w:numId="12" w16cid:durableId="310445300">
    <w:abstractNumId w:val="0"/>
  </w:num>
  <w:num w:numId="13" w16cid:durableId="351803589">
    <w:abstractNumId w:val="0"/>
  </w:num>
  <w:num w:numId="14" w16cid:durableId="282614885">
    <w:abstractNumId w:val="0"/>
  </w:num>
  <w:num w:numId="15" w16cid:durableId="64954302">
    <w:abstractNumId w:val="0"/>
  </w:num>
  <w:num w:numId="16" w16cid:durableId="546719761">
    <w:abstractNumId w:val="0"/>
  </w:num>
  <w:num w:numId="17" w16cid:durableId="16275081">
    <w:abstractNumId w:val="0"/>
  </w:num>
  <w:num w:numId="18" w16cid:durableId="1898121931">
    <w:abstractNumId w:val="0"/>
  </w:num>
  <w:num w:numId="19" w16cid:durableId="666396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155633">
    <w:abstractNumId w:val="0"/>
  </w:num>
  <w:num w:numId="21" w16cid:durableId="1484614275">
    <w:abstractNumId w:val="0"/>
  </w:num>
  <w:num w:numId="22" w16cid:durableId="2133203900">
    <w:abstractNumId w:val="0"/>
  </w:num>
  <w:num w:numId="23" w16cid:durableId="991984255">
    <w:abstractNumId w:val="0"/>
  </w:num>
  <w:num w:numId="24" w16cid:durableId="812254443">
    <w:abstractNumId w:val="0"/>
  </w:num>
  <w:num w:numId="25" w16cid:durableId="1186940361">
    <w:abstractNumId w:val="0"/>
  </w:num>
  <w:num w:numId="26" w16cid:durableId="1466662427">
    <w:abstractNumId w:val="0"/>
  </w:num>
  <w:num w:numId="27" w16cid:durableId="987440276">
    <w:abstractNumId w:val="0"/>
  </w:num>
  <w:num w:numId="28" w16cid:durableId="18734175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1D"/>
    <w:rsid w:val="00006B30"/>
    <w:rsid w:val="00007528"/>
    <w:rsid w:val="00013EA5"/>
    <w:rsid w:val="00014844"/>
    <w:rsid w:val="00024C34"/>
    <w:rsid w:val="00036F0C"/>
    <w:rsid w:val="00041E6B"/>
    <w:rsid w:val="000448C6"/>
    <w:rsid w:val="00044A75"/>
    <w:rsid w:val="00046404"/>
    <w:rsid w:val="00054FD2"/>
    <w:rsid w:val="0006479F"/>
    <w:rsid w:val="00064911"/>
    <w:rsid w:val="0006599F"/>
    <w:rsid w:val="0007381E"/>
    <w:rsid w:val="00074482"/>
    <w:rsid w:val="00074B6C"/>
    <w:rsid w:val="000969FE"/>
    <w:rsid w:val="000A17CE"/>
    <w:rsid w:val="000A23C0"/>
    <w:rsid w:val="000A2EDD"/>
    <w:rsid w:val="000B3B39"/>
    <w:rsid w:val="000D0ED5"/>
    <w:rsid w:val="000F7045"/>
    <w:rsid w:val="00102EF6"/>
    <w:rsid w:val="0010478A"/>
    <w:rsid w:val="001310E7"/>
    <w:rsid w:val="001409A4"/>
    <w:rsid w:val="00140EC3"/>
    <w:rsid w:val="001447A1"/>
    <w:rsid w:val="00146893"/>
    <w:rsid w:val="00147F37"/>
    <w:rsid w:val="00150DF4"/>
    <w:rsid w:val="00152DAC"/>
    <w:rsid w:val="0015369C"/>
    <w:rsid w:val="00172076"/>
    <w:rsid w:val="00177443"/>
    <w:rsid w:val="001824CC"/>
    <w:rsid w:val="00196976"/>
    <w:rsid w:val="001C62A4"/>
    <w:rsid w:val="001D4A06"/>
    <w:rsid w:val="001E7C87"/>
    <w:rsid w:val="001F1C1C"/>
    <w:rsid w:val="001F1E20"/>
    <w:rsid w:val="001F3195"/>
    <w:rsid w:val="002071AA"/>
    <w:rsid w:val="0021310B"/>
    <w:rsid w:val="00213C66"/>
    <w:rsid w:val="0021764D"/>
    <w:rsid w:val="00224630"/>
    <w:rsid w:val="00257A9C"/>
    <w:rsid w:val="002643D5"/>
    <w:rsid w:val="00267C9C"/>
    <w:rsid w:val="00273759"/>
    <w:rsid w:val="00286916"/>
    <w:rsid w:val="00293A1E"/>
    <w:rsid w:val="002A0C0C"/>
    <w:rsid w:val="002B17F0"/>
    <w:rsid w:val="002C44F7"/>
    <w:rsid w:val="002C457A"/>
    <w:rsid w:val="00313F32"/>
    <w:rsid w:val="00317BBD"/>
    <w:rsid w:val="003339C4"/>
    <w:rsid w:val="00335E62"/>
    <w:rsid w:val="003608C3"/>
    <w:rsid w:val="00362895"/>
    <w:rsid w:val="00370C1C"/>
    <w:rsid w:val="003B34A3"/>
    <w:rsid w:val="003B4304"/>
    <w:rsid w:val="003B7501"/>
    <w:rsid w:val="003C7624"/>
    <w:rsid w:val="003C7E08"/>
    <w:rsid w:val="003D334D"/>
    <w:rsid w:val="003F7AA3"/>
    <w:rsid w:val="003F7B8C"/>
    <w:rsid w:val="00402294"/>
    <w:rsid w:val="00416FAA"/>
    <w:rsid w:val="00421827"/>
    <w:rsid w:val="00422115"/>
    <w:rsid w:val="004347A5"/>
    <w:rsid w:val="00437D43"/>
    <w:rsid w:val="0045719C"/>
    <w:rsid w:val="0046047A"/>
    <w:rsid w:val="00480CA4"/>
    <w:rsid w:val="00487BEA"/>
    <w:rsid w:val="004978D0"/>
    <w:rsid w:val="004A1768"/>
    <w:rsid w:val="004B4E90"/>
    <w:rsid w:val="004B7CC5"/>
    <w:rsid w:val="004F04CE"/>
    <w:rsid w:val="004F501D"/>
    <w:rsid w:val="004F5F4D"/>
    <w:rsid w:val="005048E4"/>
    <w:rsid w:val="00507133"/>
    <w:rsid w:val="005110E2"/>
    <w:rsid w:val="00525B66"/>
    <w:rsid w:val="0053693A"/>
    <w:rsid w:val="00542217"/>
    <w:rsid w:val="00542DAF"/>
    <w:rsid w:val="00546EF3"/>
    <w:rsid w:val="005709A6"/>
    <w:rsid w:val="0057158D"/>
    <w:rsid w:val="00574EC0"/>
    <w:rsid w:val="005945BB"/>
    <w:rsid w:val="005A4210"/>
    <w:rsid w:val="005D4316"/>
    <w:rsid w:val="005D64BF"/>
    <w:rsid w:val="005E438F"/>
    <w:rsid w:val="005E5867"/>
    <w:rsid w:val="006007F6"/>
    <w:rsid w:val="00600E5C"/>
    <w:rsid w:val="006134A1"/>
    <w:rsid w:val="0061662D"/>
    <w:rsid w:val="00631E1A"/>
    <w:rsid w:val="00633D51"/>
    <w:rsid w:val="00661E19"/>
    <w:rsid w:val="00662883"/>
    <w:rsid w:val="006767CC"/>
    <w:rsid w:val="00681721"/>
    <w:rsid w:val="006B17A1"/>
    <w:rsid w:val="006C3913"/>
    <w:rsid w:val="006D082B"/>
    <w:rsid w:val="00717E1E"/>
    <w:rsid w:val="00724495"/>
    <w:rsid w:val="00727D11"/>
    <w:rsid w:val="007302E6"/>
    <w:rsid w:val="00732794"/>
    <w:rsid w:val="00736E4C"/>
    <w:rsid w:val="007372AA"/>
    <w:rsid w:val="00752002"/>
    <w:rsid w:val="00753717"/>
    <w:rsid w:val="007619D5"/>
    <w:rsid w:val="00765575"/>
    <w:rsid w:val="0077040B"/>
    <w:rsid w:val="007858FF"/>
    <w:rsid w:val="007862E1"/>
    <w:rsid w:val="007956CB"/>
    <w:rsid w:val="007A06E0"/>
    <w:rsid w:val="007B5C5C"/>
    <w:rsid w:val="007C685C"/>
    <w:rsid w:val="007D0D7C"/>
    <w:rsid w:val="007D5E38"/>
    <w:rsid w:val="007F51C4"/>
    <w:rsid w:val="0080361F"/>
    <w:rsid w:val="0081173C"/>
    <w:rsid w:val="00813F67"/>
    <w:rsid w:val="00832F7B"/>
    <w:rsid w:val="00833BF7"/>
    <w:rsid w:val="008347CA"/>
    <w:rsid w:val="00840787"/>
    <w:rsid w:val="00843976"/>
    <w:rsid w:val="00843C3E"/>
    <w:rsid w:val="0085528B"/>
    <w:rsid w:val="00872FE5"/>
    <w:rsid w:val="00874621"/>
    <w:rsid w:val="00880A02"/>
    <w:rsid w:val="00881D57"/>
    <w:rsid w:val="00882AC7"/>
    <w:rsid w:val="00885D3B"/>
    <w:rsid w:val="008A580E"/>
    <w:rsid w:val="008B701F"/>
    <w:rsid w:val="008C0CE3"/>
    <w:rsid w:val="008C4391"/>
    <w:rsid w:val="008D1073"/>
    <w:rsid w:val="008D39F6"/>
    <w:rsid w:val="008D44C4"/>
    <w:rsid w:val="008D7314"/>
    <w:rsid w:val="008E113B"/>
    <w:rsid w:val="008E7E27"/>
    <w:rsid w:val="008F57C6"/>
    <w:rsid w:val="009039DD"/>
    <w:rsid w:val="00920C01"/>
    <w:rsid w:val="00930A29"/>
    <w:rsid w:val="009416FA"/>
    <w:rsid w:val="00956510"/>
    <w:rsid w:val="0096524B"/>
    <w:rsid w:val="00967373"/>
    <w:rsid w:val="00971AF5"/>
    <w:rsid w:val="009C01E9"/>
    <w:rsid w:val="009C087A"/>
    <w:rsid w:val="009C3201"/>
    <w:rsid w:val="009E0458"/>
    <w:rsid w:val="009F34A4"/>
    <w:rsid w:val="00A27835"/>
    <w:rsid w:val="00A30F79"/>
    <w:rsid w:val="00A43BBB"/>
    <w:rsid w:val="00A4672B"/>
    <w:rsid w:val="00A47EBE"/>
    <w:rsid w:val="00A524C0"/>
    <w:rsid w:val="00A55AD7"/>
    <w:rsid w:val="00A666D5"/>
    <w:rsid w:val="00A92B3D"/>
    <w:rsid w:val="00A967C2"/>
    <w:rsid w:val="00A979A3"/>
    <w:rsid w:val="00AA665E"/>
    <w:rsid w:val="00AB02FB"/>
    <w:rsid w:val="00AB176C"/>
    <w:rsid w:val="00AC531E"/>
    <w:rsid w:val="00AD450D"/>
    <w:rsid w:val="00AF6CBA"/>
    <w:rsid w:val="00B24BFE"/>
    <w:rsid w:val="00B42BD5"/>
    <w:rsid w:val="00B4541D"/>
    <w:rsid w:val="00B52677"/>
    <w:rsid w:val="00B6299A"/>
    <w:rsid w:val="00B645A4"/>
    <w:rsid w:val="00B72609"/>
    <w:rsid w:val="00B7429F"/>
    <w:rsid w:val="00B759CF"/>
    <w:rsid w:val="00B75ECE"/>
    <w:rsid w:val="00B84640"/>
    <w:rsid w:val="00B84A18"/>
    <w:rsid w:val="00B8642F"/>
    <w:rsid w:val="00B92F90"/>
    <w:rsid w:val="00BA29AF"/>
    <w:rsid w:val="00BB01BD"/>
    <w:rsid w:val="00BB5A42"/>
    <w:rsid w:val="00BC5680"/>
    <w:rsid w:val="00BD2212"/>
    <w:rsid w:val="00BF3B5F"/>
    <w:rsid w:val="00BF5365"/>
    <w:rsid w:val="00C20913"/>
    <w:rsid w:val="00C27F0C"/>
    <w:rsid w:val="00C3103B"/>
    <w:rsid w:val="00C3193A"/>
    <w:rsid w:val="00C47117"/>
    <w:rsid w:val="00C4711B"/>
    <w:rsid w:val="00C567C0"/>
    <w:rsid w:val="00C64912"/>
    <w:rsid w:val="00C71E21"/>
    <w:rsid w:val="00CB5298"/>
    <w:rsid w:val="00CC1858"/>
    <w:rsid w:val="00CC26B1"/>
    <w:rsid w:val="00CC3E50"/>
    <w:rsid w:val="00CD0539"/>
    <w:rsid w:val="00CD407B"/>
    <w:rsid w:val="00CE377C"/>
    <w:rsid w:val="00D00CE8"/>
    <w:rsid w:val="00D33767"/>
    <w:rsid w:val="00D4250B"/>
    <w:rsid w:val="00D43C6A"/>
    <w:rsid w:val="00D519BD"/>
    <w:rsid w:val="00D5731E"/>
    <w:rsid w:val="00D6602E"/>
    <w:rsid w:val="00D76B41"/>
    <w:rsid w:val="00D878CA"/>
    <w:rsid w:val="00D96B14"/>
    <w:rsid w:val="00DA45C2"/>
    <w:rsid w:val="00DC4C30"/>
    <w:rsid w:val="00DD4A54"/>
    <w:rsid w:val="00DE2D3F"/>
    <w:rsid w:val="00DF3FBD"/>
    <w:rsid w:val="00DF4FD9"/>
    <w:rsid w:val="00DF7B2F"/>
    <w:rsid w:val="00E04030"/>
    <w:rsid w:val="00E0663B"/>
    <w:rsid w:val="00E12217"/>
    <w:rsid w:val="00E1493C"/>
    <w:rsid w:val="00E27F16"/>
    <w:rsid w:val="00E3369B"/>
    <w:rsid w:val="00E37F7A"/>
    <w:rsid w:val="00E43463"/>
    <w:rsid w:val="00E61805"/>
    <w:rsid w:val="00E64BBD"/>
    <w:rsid w:val="00E732CA"/>
    <w:rsid w:val="00E7745E"/>
    <w:rsid w:val="00E86D5D"/>
    <w:rsid w:val="00EB4F14"/>
    <w:rsid w:val="00EC1BC7"/>
    <w:rsid w:val="00ED7B8C"/>
    <w:rsid w:val="00EF7669"/>
    <w:rsid w:val="00F02447"/>
    <w:rsid w:val="00F22F10"/>
    <w:rsid w:val="00F25198"/>
    <w:rsid w:val="00F44731"/>
    <w:rsid w:val="00F54EE8"/>
    <w:rsid w:val="00F600A9"/>
    <w:rsid w:val="00F61562"/>
    <w:rsid w:val="00F84A91"/>
    <w:rsid w:val="00F96885"/>
    <w:rsid w:val="00FA2B0D"/>
    <w:rsid w:val="00FA6DAD"/>
    <w:rsid w:val="00FB04EF"/>
    <w:rsid w:val="00FD4D75"/>
    <w:rsid w:val="00FE3065"/>
    <w:rsid w:val="00FE33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3EBF5"/>
  <w15:chartTrackingRefBased/>
  <w15:docId w15:val="{9384A2FE-433E-4828-83A7-552CBDBE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1D"/>
    <w:pPr>
      <w:spacing w:after="0" w:line="240" w:lineRule="auto"/>
    </w:pPr>
    <w:rPr>
      <w:rFonts w:ascii="Times New Roman" w:eastAsia="Times New Roman" w:hAnsi="Times New Roman" w:cs="Times New Roman"/>
      <w:sz w:val="24"/>
      <w:szCs w:val="24"/>
      <w:lang w:val="ru-RU"/>
    </w:rPr>
  </w:style>
  <w:style w:type="paragraph" w:styleId="Heading1">
    <w:name w:val="heading 1"/>
    <w:basedOn w:val="Normal"/>
    <w:next w:val="Heading2"/>
    <w:link w:val="Heading1Char"/>
    <w:qFormat/>
    <w:rsid w:val="004F501D"/>
    <w:pPr>
      <w:keepNext/>
      <w:numPr>
        <w:numId w:val="1"/>
      </w:numPr>
      <w:spacing w:before="240" w:after="120"/>
      <w:jc w:val="both"/>
      <w:outlineLvl w:val="0"/>
    </w:pPr>
    <w:rPr>
      <w:rFonts w:ascii="Garamond" w:hAnsi="Garamond"/>
      <w:b/>
      <w:caps/>
      <w:lang w:val="et-EE"/>
    </w:rPr>
  </w:style>
  <w:style w:type="paragraph" w:styleId="Heading2">
    <w:name w:val="heading 2"/>
    <w:basedOn w:val="Normal"/>
    <w:next w:val="Section11textRP"/>
    <w:link w:val="Heading2Char"/>
    <w:qFormat/>
    <w:rsid w:val="004F501D"/>
    <w:pPr>
      <w:keepNext/>
      <w:numPr>
        <w:ilvl w:val="1"/>
        <w:numId w:val="1"/>
      </w:numPr>
      <w:spacing w:after="120"/>
      <w:jc w:val="both"/>
      <w:outlineLvl w:val="1"/>
    </w:pPr>
    <w:rPr>
      <w:rFonts w:ascii="Garamond" w:hAnsi="Garamond"/>
      <w:b/>
      <w:lang w:val="et-EE"/>
    </w:rPr>
  </w:style>
  <w:style w:type="paragraph" w:styleId="Heading3">
    <w:name w:val="heading 3"/>
    <w:aliases w:val=".,paranum3,paranum31"/>
    <w:basedOn w:val="Normal"/>
    <w:link w:val="Heading3Char"/>
    <w:qFormat/>
    <w:rsid w:val="004F501D"/>
    <w:pPr>
      <w:numPr>
        <w:ilvl w:val="2"/>
        <w:numId w:val="1"/>
      </w:numPr>
      <w:spacing w:after="120"/>
      <w:jc w:val="both"/>
      <w:outlineLvl w:val="2"/>
    </w:pPr>
    <w:rPr>
      <w:rFonts w:ascii="Garamond" w:hAnsi="Garamond"/>
      <w:bCs/>
      <w:lang w:val="et-EE"/>
    </w:rPr>
  </w:style>
  <w:style w:type="paragraph" w:styleId="Heading4">
    <w:name w:val="heading 4"/>
    <w:basedOn w:val="Normal"/>
    <w:link w:val="Heading4Char"/>
    <w:qFormat/>
    <w:rsid w:val="004F501D"/>
    <w:pPr>
      <w:widowControl w:val="0"/>
      <w:numPr>
        <w:ilvl w:val="3"/>
        <w:numId w:val="1"/>
      </w:numPr>
      <w:overflowPunct w:val="0"/>
      <w:autoSpaceDE w:val="0"/>
      <w:autoSpaceDN w:val="0"/>
      <w:adjustRightInd w:val="0"/>
      <w:spacing w:after="120"/>
      <w:jc w:val="both"/>
      <w:outlineLvl w:val="3"/>
    </w:pPr>
    <w:rPr>
      <w:rFonts w:ascii="Garamond" w:eastAsia="Arial Unicode MS" w:hAnsi="Garamond"/>
      <w:bCs/>
      <w:szCs w:val="28"/>
      <w:lang w:val="et-EE"/>
    </w:rPr>
  </w:style>
  <w:style w:type="paragraph" w:styleId="Heading5">
    <w:name w:val="heading 5"/>
    <w:basedOn w:val="Normal"/>
    <w:next w:val="Normal"/>
    <w:link w:val="Heading5Char"/>
    <w:qFormat/>
    <w:rsid w:val="004F501D"/>
    <w:pPr>
      <w:widowControl w:val="0"/>
      <w:numPr>
        <w:ilvl w:val="4"/>
        <w:numId w:val="1"/>
      </w:numPr>
      <w:overflowPunct w:val="0"/>
      <w:autoSpaceDE w:val="0"/>
      <w:autoSpaceDN w:val="0"/>
      <w:adjustRightInd w:val="0"/>
      <w:spacing w:after="240"/>
      <w:jc w:val="center"/>
      <w:outlineLvl w:val="4"/>
    </w:pPr>
    <w:rPr>
      <w:rFonts w:eastAsia="Arial Unicode MS"/>
      <w:b/>
      <w:bCs/>
      <w:iCs/>
      <w:caps/>
      <w:szCs w:val="26"/>
      <w:lang w:val="en-GB"/>
    </w:rPr>
  </w:style>
  <w:style w:type="paragraph" w:styleId="Heading6">
    <w:name w:val="heading 6"/>
    <w:basedOn w:val="Normal"/>
    <w:next w:val="Normal"/>
    <w:link w:val="Heading6Char"/>
    <w:qFormat/>
    <w:rsid w:val="004F501D"/>
    <w:pPr>
      <w:keepNext/>
      <w:numPr>
        <w:ilvl w:val="5"/>
        <w:numId w:val="1"/>
      </w:numPr>
      <w:tabs>
        <w:tab w:val="clear" w:pos="709"/>
        <w:tab w:val="num" w:pos="600"/>
      </w:tabs>
      <w:overflowPunct w:val="0"/>
      <w:autoSpaceDE w:val="0"/>
      <w:autoSpaceDN w:val="0"/>
      <w:adjustRightInd w:val="0"/>
      <w:spacing w:after="240"/>
      <w:ind w:left="600" w:hanging="600"/>
      <w:jc w:val="both"/>
      <w:outlineLvl w:val="5"/>
    </w:pPr>
    <w:rPr>
      <w:rFonts w:ascii="Garamond" w:eastAsia="Arial Unicode MS" w:hAnsi="Garamond"/>
      <w:b/>
      <w:bCs/>
      <w:caps/>
      <w:szCs w:val="22"/>
    </w:rPr>
  </w:style>
  <w:style w:type="paragraph" w:styleId="Heading7">
    <w:name w:val="heading 7"/>
    <w:basedOn w:val="Normal"/>
    <w:next w:val="Normal"/>
    <w:link w:val="Heading7Char"/>
    <w:qFormat/>
    <w:rsid w:val="004F501D"/>
    <w:pPr>
      <w:keepNext/>
      <w:numPr>
        <w:ilvl w:val="6"/>
        <w:numId w:val="1"/>
      </w:numPr>
      <w:tabs>
        <w:tab w:val="clear" w:pos="709"/>
        <w:tab w:val="num" w:pos="600"/>
      </w:tabs>
      <w:overflowPunct w:val="0"/>
      <w:autoSpaceDE w:val="0"/>
      <w:autoSpaceDN w:val="0"/>
      <w:adjustRightInd w:val="0"/>
      <w:spacing w:after="240"/>
      <w:ind w:left="600" w:hanging="600"/>
      <w:jc w:val="both"/>
      <w:outlineLvl w:val="6"/>
    </w:pPr>
    <w:rPr>
      <w:rFonts w:ascii="Garamond" w:hAnsi="Garamond"/>
      <w:b/>
    </w:rPr>
  </w:style>
  <w:style w:type="paragraph" w:styleId="Heading8">
    <w:name w:val="heading 8"/>
    <w:basedOn w:val="Normal"/>
    <w:next w:val="Normal"/>
    <w:link w:val="Heading8Char"/>
    <w:qFormat/>
    <w:rsid w:val="004F501D"/>
    <w:pPr>
      <w:numPr>
        <w:ilvl w:val="7"/>
        <w:numId w:val="1"/>
      </w:numPr>
      <w:overflowPunct w:val="0"/>
      <w:autoSpaceDE w:val="0"/>
      <w:autoSpaceDN w:val="0"/>
      <w:adjustRightInd w:val="0"/>
      <w:spacing w:after="240"/>
      <w:jc w:val="both"/>
      <w:outlineLvl w:val="7"/>
    </w:pPr>
    <w:rPr>
      <w:iCs/>
    </w:rPr>
  </w:style>
  <w:style w:type="paragraph" w:styleId="Heading9">
    <w:name w:val="heading 9"/>
    <w:basedOn w:val="Normal"/>
    <w:next w:val="Normal"/>
    <w:link w:val="Heading9Char"/>
    <w:qFormat/>
    <w:rsid w:val="004F501D"/>
    <w:pPr>
      <w:numPr>
        <w:ilvl w:val="8"/>
        <w:numId w:val="1"/>
      </w:numPr>
      <w:overflowPunct w:val="0"/>
      <w:autoSpaceDE w:val="0"/>
      <w:autoSpaceDN w:val="0"/>
      <w:adjustRightInd w:val="0"/>
      <w:spacing w:after="240"/>
      <w:jc w:val="center"/>
      <w:outlineLvl w:val="8"/>
    </w:pPr>
    <w:rPr>
      <w:rFonts w:cs="Arial"/>
      <w:b/>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01D"/>
    <w:rPr>
      <w:rFonts w:ascii="Garamond" w:eastAsia="Times New Roman" w:hAnsi="Garamond" w:cs="Times New Roman"/>
      <w:b/>
      <w:caps/>
      <w:sz w:val="24"/>
      <w:szCs w:val="24"/>
      <w:lang w:val="et-EE"/>
    </w:rPr>
  </w:style>
  <w:style w:type="character" w:customStyle="1" w:styleId="Heading2Char">
    <w:name w:val="Heading 2 Char"/>
    <w:basedOn w:val="DefaultParagraphFont"/>
    <w:link w:val="Heading2"/>
    <w:rsid w:val="004F501D"/>
    <w:rPr>
      <w:rFonts w:ascii="Garamond" w:eastAsia="Times New Roman" w:hAnsi="Garamond" w:cs="Times New Roman"/>
      <w:b/>
      <w:sz w:val="24"/>
      <w:szCs w:val="24"/>
      <w:lang w:val="et-EE"/>
    </w:rPr>
  </w:style>
  <w:style w:type="character" w:customStyle="1" w:styleId="Heading3Char">
    <w:name w:val="Heading 3 Char"/>
    <w:aliases w:val=". Char,paranum3 Char,paranum31 Char"/>
    <w:basedOn w:val="DefaultParagraphFont"/>
    <w:link w:val="Heading3"/>
    <w:rsid w:val="004F501D"/>
    <w:rPr>
      <w:rFonts w:ascii="Garamond" w:eastAsia="Times New Roman" w:hAnsi="Garamond" w:cs="Times New Roman"/>
      <w:bCs/>
      <w:sz w:val="24"/>
      <w:szCs w:val="24"/>
      <w:lang w:val="et-EE"/>
    </w:rPr>
  </w:style>
  <w:style w:type="character" w:customStyle="1" w:styleId="Heading4Char">
    <w:name w:val="Heading 4 Char"/>
    <w:basedOn w:val="DefaultParagraphFont"/>
    <w:link w:val="Heading4"/>
    <w:rsid w:val="004F501D"/>
    <w:rPr>
      <w:rFonts w:ascii="Garamond" w:eastAsia="Arial Unicode MS" w:hAnsi="Garamond" w:cs="Times New Roman"/>
      <w:bCs/>
      <w:sz w:val="24"/>
      <w:szCs w:val="28"/>
      <w:lang w:val="et-EE"/>
    </w:rPr>
  </w:style>
  <w:style w:type="character" w:customStyle="1" w:styleId="Heading5Char">
    <w:name w:val="Heading 5 Char"/>
    <w:basedOn w:val="DefaultParagraphFont"/>
    <w:link w:val="Heading5"/>
    <w:rsid w:val="004F501D"/>
    <w:rPr>
      <w:rFonts w:ascii="Times New Roman" w:eastAsia="Arial Unicode MS" w:hAnsi="Times New Roman" w:cs="Times New Roman"/>
      <w:b/>
      <w:bCs/>
      <w:iCs/>
      <w:caps/>
      <w:sz w:val="24"/>
      <w:szCs w:val="26"/>
      <w:lang w:val="en-GB"/>
    </w:rPr>
  </w:style>
  <w:style w:type="character" w:customStyle="1" w:styleId="Heading6Char">
    <w:name w:val="Heading 6 Char"/>
    <w:basedOn w:val="DefaultParagraphFont"/>
    <w:link w:val="Heading6"/>
    <w:rsid w:val="004F501D"/>
    <w:rPr>
      <w:rFonts w:ascii="Garamond" w:eastAsia="Arial Unicode MS" w:hAnsi="Garamond" w:cs="Times New Roman"/>
      <w:b/>
      <w:bCs/>
      <w:caps/>
      <w:sz w:val="24"/>
      <w:lang w:val="ru-RU"/>
    </w:rPr>
  </w:style>
  <w:style w:type="character" w:customStyle="1" w:styleId="Heading7Char">
    <w:name w:val="Heading 7 Char"/>
    <w:basedOn w:val="DefaultParagraphFont"/>
    <w:link w:val="Heading7"/>
    <w:rsid w:val="004F501D"/>
    <w:rPr>
      <w:rFonts w:ascii="Garamond" w:eastAsia="Times New Roman" w:hAnsi="Garamond" w:cs="Times New Roman"/>
      <w:b/>
      <w:sz w:val="24"/>
      <w:szCs w:val="24"/>
      <w:lang w:val="ru-RU"/>
    </w:rPr>
  </w:style>
  <w:style w:type="character" w:customStyle="1" w:styleId="Heading8Char">
    <w:name w:val="Heading 8 Char"/>
    <w:basedOn w:val="DefaultParagraphFont"/>
    <w:link w:val="Heading8"/>
    <w:rsid w:val="004F501D"/>
    <w:rPr>
      <w:rFonts w:ascii="Times New Roman" w:eastAsia="Times New Roman" w:hAnsi="Times New Roman" w:cs="Times New Roman"/>
      <w:iCs/>
      <w:sz w:val="24"/>
      <w:szCs w:val="24"/>
      <w:lang w:val="ru-RU"/>
    </w:rPr>
  </w:style>
  <w:style w:type="character" w:customStyle="1" w:styleId="Heading9Char">
    <w:name w:val="Heading 9 Char"/>
    <w:basedOn w:val="DefaultParagraphFont"/>
    <w:link w:val="Heading9"/>
    <w:rsid w:val="004F501D"/>
    <w:rPr>
      <w:rFonts w:ascii="Times New Roman" w:eastAsia="Times New Roman" w:hAnsi="Times New Roman" w:cs="Arial"/>
      <w:b/>
      <w:caps/>
      <w:sz w:val="24"/>
      <w:lang w:val="ru-RU"/>
    </w:rPr>
  </w:style>
  <w:style w:type="paragraph" w:customStyle="1" w:styleId="Section11textRP">
    <w:name w:val="Section 1.1 text (R&amp;P)"/>
    <w:basedOn w:val="Heading2"/>
    <w:next w:val="Heading2"/>
    <w:rsid w:val="004F501D"/>
    <w:pPr>
      <w:keepNext w:val="0"/>
      <w:numPr>
        <w:ilvl w:val="0"/>
        <w:numId w:val="0"/>
      </w:numPr>
      <w:ind w:left="601"/>
    </w:pPr>
    <w:rPr>
      <w:b w:val="0"/>
      <w:bCs/>
    </w:rPr>
  </w:style>
  <w:style w:type="paragraph" w:customStyle="1" w:styleId="Text">
    <w:name w:val="Text"/>
    <w:basedOn w:val="Normal"/>
    <w:rsid w:val="004F501D"/>
    <w:pPr>
      <w:overflowPunct w:val="0"/>
      <w:autoSpaceDE w:val="0"/>
      <w:autoSpaceDN w:val="0"/>
      <w:adjustRightInd w:val="0"/>
      <w:spacing w:after="240"/>
      <w:ind w:left="600"/>
      <w:jc w:val="both"/>
    </w:pPr>
    <w:rPr>
      <w:rFonts w:ascii="Garamond" w:hAnsi="Garamond"/>
      <w:szCs w:val="20"/>
      <w:lang w:val="en-GB"/>
    </w:rPr>
  </w:style>
  <w:style w:type="paragraph" w:styleId="Footer">
    <w:name w:val="footer"/>
    <w:link w:val="FooterChar"/>
    <w:rsid w:val="004F501D"/>
    <w:pPr>
      <w:spacing w:after="0" w:line="240" w:lineRule="auto"/>
    </w:pPr>
    <w:rPr>
      <w:rFonts w:ascii="Times New Roman" w:eastAsia="Times New Roman" w:hAnsi="Times New Roman" w:cs="Times New Roman"/>
      <w:sz w:val="12"/>
      <w:szCs w:val="20"/>
    </w:rPr>
  </w:style>
  <w:style w:type="character" w:customStyle="1" w:styleId="FooterChar">
    <w:name w:val="Footer Char"/>
    <w:basedOn w:val="DefaultParagraphFont"/>
    <w:link w:val="Footer"/>
    <w:rsid w:val="004F501D"/>
    <w:rPr>
      <w:rFonts w:ascii="Times New Roman" w:eastAsia="Times New Roman" w:hAnsi="Times New Roman" w:cs="Times New Roman"/>
      <w:sz w:val="12"/>
      <w:szCs w:val="20"/>
    </w:rPr>
  </w:style>
  <w:style w:type="paragraph" w:styleId="BodyText">
    <w:name w:val="Body Text"/>
    <w:basedOn w:val="Normal"/>
    <w:link w:val="BodyTextChar"/>
    <w:rsid w:val="004F501D"/>
    <w:pPr>
      <w:tabs>
        <w:tab w:val="left" w:pos="3480"/>
      </w:tabs>
      <w:ind w:left="600"/>
      <w:jc w:val="both"/>
    </w:pPr>
    <w:rPr>
      <w:rFonts w:ascii="Garamond" w:hAnsi="Garamond"/>
      <w:lang w:val="en-US"/>
    </w:rPr>
  </w:style>
  <w:style w:type="character" w:customStyle="1" w:styleId="BodyTextChar">
    <w:name w:val="Body Text Char"/>
    <w:basedOn w:val="DefaultParagraphFont"/>
    <w:link w:val="BodyText"/>
    <w:rsid w:val="004F501D"/>
    <w:rPr>
      <w:rFonts w:ascii="Garamond" w:eastAsia="Times New Roman" w:hAnsi="Garamond" w:cs="Times New Roman"/>
      <w:sz w:val="24"/>
      <w:szCs w:val="24"/>
    </w:rPr>
  </w:style>
  <w:style w:type="paragraph" w:styleId="Title">
    <w:name w:val="Title"/>
    <w:aliases w:val="Title of Agreement (R&amp;P)"/>
    <w:basedOn w:val="Normal"/>
    <w:link w:val="TitleChar"/>
    <w:qFormat/>
    <w:rsid w:val="004F501D"/>
    <w:pPr>
      <w:spacing w:before="240" w:after="240"/>
      <w:jc w:val="center"/>
      <w:outlineLvl w:val="0"/>
    </w:pPr>
    <w:rPr>
      <w:rFonts w:ascii="Garamond" w:hAnsi="Garamond" w:cs="Arial"/>
      <w:b/>
      <w:bCs/>
      <w:color w:val="000000"/>
      <w:kern w:val="28"/>
      <w:sz w:val="28"/>
      <w:szCs w:val="32"/>
      <w:lang w:val="et-EE"/>
    </w:rPr>
  </w:style>
  <w:style w:type="character" w:customStyle="1" w:styleId="TitleChar">
    <w:name w:val="Title Char"/>
    <w:aliases w:val="Title of Agreement (R&amp;P) Char"/>
    <w:basedOn w:val="DefaultParagraphFont"/>
    <w:link w:val="Title"/>
    <w:rsid w:val="004F501D"/>
    <w:rPr>
      <w:rFonts w:ascii="Garamond" w:eastAsia="Times New Roman" w:hAnsi="Garamond" w:cs="Arial"/>
      <w:b/>
      <w:bCs/>
      <w:color w:val="000000"/>
      <w:kern w:val="28"/>
      <w:sz w:val="28"/>
      <w:szCs w:val="32"/>
      <w:lang w:val="et-EE"/>
    </w:rPr>
  </w:style>
  <w:style w:type="character" w:styleId="PageNumber">
    <w:name w:val="page number"/>
    <w:basedOn w:val="DefaultParagraphFont"/>
    <w:rsid w:val="004F501D"/>
  </w:style>
  <w:style w:type="paragraph" w:styleId="Header">
    <w:name w:val="header"/>
    <w:basedOn w:val="Normal"/>
    <w:link w:val="HeaderChar"/>
    <w:rsid w:val="004F501D"/>
    <w:pPr>
      <w:tabs>
        <w:tab w:val="center" w:pos="4153"/>
        <w:tab w:val="right" w:pos="8306"/>
      </w:tabs>
    </w:pPr>
  </w:style>
  <w:style w:type="character" w:customStyle="1" w:styleId="HeaderChar">
    <w:name w:val="Header Char"/>
    <w:basedOn w:val="DefaultParagraphFont"/>
    <w:link w:val="Header"/>
    <w:rsid w:val="004F501D"/>
    <w:rPr>
      <w:rFonts w:ascii="Times New Roman" w:eastAsia="Times New Roman" w:hAnsi="Times New Roman" w:cs="Times New Roman"/>
      <w:sz w:val="24"/>
      <w:szCs w:val="24"/>
      <w:lang w:val="ru-RU"/>
    </w:rPr>
  </w:style>
  <w:style w:type="character" w:styleId="CommentReference">
    <w:name w:val="annotation reference"/>
    <w:semiHidden/>
    <w:rsid w:val="004F501D"/>
    <w:rPr>
      <w:sz w:val="16"/>
      <w:szCs w:val="16"/>
    </w:rPr>
  </w:style>
  <w:style w:type="paragraph" w:styleId="CommentText">
    <w:name w:val="annotation text"/>
    <w:basedOn w:val="Normal"/>
    <w:link w:val="CommentTextChar"/>
    <w:autoRedefine/>
    <w:semiHidden/>
    <w:rsid w:val="004F501D"/>
    <w:rPr>
      <w:rFonts w:ascii="Arial" w:hAnsi="Arial"/>
      <w:sz w:val="21"/>
      <w:szCs w:val="20"/>
    </w:rPr>
  </w:style>
  <w:style w:type="character" w:customStyle="1" w:styleId="CommentTextChar">
    <w:name w:val="Comment Text Char"/>
    <w:basedOn w:val="DefaultParagraphFont"/>
    <w:link w:val="CommentText"/>
    <w:semiHidden/>
    <w:rsid w:val="004F501D"/>
    <w:rPr>
      <w:rFonts w:ascii="Arial" w:eastAsia="Times New Roman" w:hAnsi="Arial" w:cs="Times New Roman"/>
      <w:sz w:val="21"/>
      <w:szCs w:val="20"/>
      <w:lang w:val="ru-RU"/>
    </w:rPr>
  </w:style>
  <w:style w:type="paragraph" w:styleId="CommentSubject">
    <w:name w:val="annotation subject"/>
    <w:basedOn w:val="CommentText"/>
    <w:next w:val="CommentText"/>
    <w:link w:val="CommentSubjectChar"/>
    <w:uiPriority w:val="99"/>
    <w:semiHidden/>
    <w:unhideWhenUsed/>
    <w:rsid w:val="00014844"/>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014844"/>
    <w:rPr>
      <w:rFonts w:ascii="Times New Roman" w:eastAsia="Times New Roman" w:hAnsi="Times New Roman" w:cs="Times New Roman"/>
      <w:b/>
      <w:bCs/>
      <w:sz w:val="20"/>
      <w:szCs w:val="20"/>
      <w:lang w:val="ru-RU"/>
    </w:rPr>
  </w:style>
  <w:style w:type="paragraph" w:styleId="FootnoteText">
    <w:name w:val="footnote text"/>
    <w:basedOn w:val="Normal"/>
    <w:link w:val="FootnoteTextChar"/>
    <w:uiPriority w:val="99"/>
    <w:semiHidden/>
    <w:unhideWhenUsed/>
    <w:rsid w:val="00014844"/>
    <w:rPr>
      <w:sz w:val="20"/>
      <w:szCs w:val="20"/>
    </w:rPr>
  </w:style>
  <w:style w:type="character" w:customStyle="1" w:styleId="FootnoteTextChar">
    <w:name w:val="Footnote Text Char"/>
    <w:basedOn w:val="DefaultParagraphFont"/>
    <w:link w:val="FootnoteText"/>
    <w:uiPriority w:val="99"/>
    <w:semiHidden/>
    <w:rsid w:val="00014844"/>
    <w:rPr>
      <w:rFonts w:ascii="Times New Roman" w:eastAsia="Times New Roman" w:hAnsi="Times New Roman" w:cs="Times New Roman"/>
      <w:sz w:val="20"/>
      <w:szCs w:val="20"/>
      <w:lang w:val="ru-RU"/>
    </w:rPr>
  </w:style>
  <w:style w:type="character" w:styleId="FootnoteReference">
    <w:name w:val="footnote reference"/>
    <w:basedOn w:val="DefaultParagraphFont"/>
    <w:uiPriority w:val="99"/>
    <w:semiHidden/>
    <w:unhideWhenUsed/>
    <w:rsid w:val="00014844"/>
    <w:rPr>
      <w:vertAlign w:val="superscript"/>
    </w:rPr>
  </w:style>
  <w:style w:type="paragraph" w:styleId="BalloonText">
    <w:name w:val="Balloon Text"/>
    <w:basedOn w:val="Normal"/>
    <w:link w:val="BalloonTextChar"/>
    <w:uiPriority w:val="99"/>
    <w:semiHidden/>
    <w:unhideWhenUsed/>
    <w:rsid w:val="00B8642F"/>
    <w:pPr>
      <w:jc w:val="both"/>
    </w:pPr>
    <w:rPr>
      <w:rFonts w:ascii="Segoe UI" w:hAnsi="Segoe UI" w:cs="Segoe UI"/>
      <w:color w:val="000000"/>
      <w:sz w:val="18"/>
      <w:szCs w:val="18"/>
      <w:lang w:val="en-GB" w:eastAsia="en-GB"/>
    </w:rPr>
  </w:style>
  <w:style w:type="character" w:customStyle="1" w:styleId="BalloonTextChar">
    <w:name w:val="Balloon Text Char"/>
    <w:basedOn w:val="DefaultParagraphFont"/>
    <w:link w:val="BalloonText"/>
    <w:uiPriority w:val="99"/>
    <w:semiHidden/>
    <w:rsid w:val="00B8642F"/>
    <w:rPr>
      <w:rFonts w:ascii="Segoe UI" w:eastAsia="Times New Roman" w:hAnsi="Segoe UI" w:cs="Segoe UI"/>
      <w:color w:val="000000"/>
      <w:sz w:val="18"/>
      <w:szCs w:val="18"/>
      <w:lang w:val="en-GB" w:eastAsia="en-GB"/>
    </w:rPr>
  </w:style>
  <w:style w:type="paragraph" w:styleId="Revision">
    <w:name w:val="Revision"/>
    <w:hidden/>
    <w:uiPriority w:val="99"/>
    <w:semiHidden/>
    <w:rsid w:val="00B7429F"/>
    <w:pPr>
      <w:spacing w:after="0"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89013">
      <w:bodyDiv w:val="1"/>
      <w:marLeft w:val="0"/>
      <w:marRight w:val="0"/>
      <w:marTop w:val="0"/>
      <w:marBottom w:val="0"/>
      <w:divBdr>
        <w:top w:val="none" w:sz="0" w:space="0" w:color="auto"/>
        <w:left w:val="none" w:sz="0" w:space="0" w:color="auto"/>
        <w:bottom w:val="none" w:sz="0" w:space="0" w:color="auto"/>
        <w:right w:val="none" w:sz="0" w:space="0" w:color="auto"/>
      </w:divBdr>
    </w:div>
    <w:div w:id="19841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Ellex">
      <a:dk1>
        <a:srgbClr val="333333"/>
      </a:dk1>
      <a:lt1>
        <a:sysClr val="window" lastClr="FFFFFF"/>
      </a:lt1>
      <a:dk2>
        <a:srgbClr val="041E41"/>
      </a:dk2>
      <a:lt2>
        <a:srgbClr val="999999"/>
      </a:lt2>
      <a:accent1>
        <a:srgbClr val="041E41"/>
      </a:accent1>
      <a:accent2>
        <a:srgbClr val="94D600"/>
      </a:accent2>
      <a:accent3>
        <a:srgbClr val="ABD261"/>
      </a:accent3>
      <a:accent4>
        <a:srgbClr val="C9E19B"/>
      </a:accent4>
      <a:accent5>
        <a:srgbClr val="CACBD5"/>
      </a:accent5>
      <a:accent6>
        <a:srgbClr val="676E87"/>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 T L N ! 6 0 1 5 4 3 . 5 < / d o c u m e n t i d >  
     < s e n d e r i d > M A R T I N . K A E R D I < / s e n d e r i d >  
     < s e n d e r e m a i l > M A R T I N . K A E R D I @ E L L E X . L E G A L < / s e n d e r e m a i l >  
     < l a s t m o d i f i e d > 2 0 2 2 - 0 5 - 0 5 T 1 4 : 0 3 : 0 0 . 0 0 0 0 0 0 0 + 0 3 : 0 0 < / l a s t m o d i f i e d >  
     < d a t a b a s e > T L N < / d a t a b a s e >  
 < / p r o p e r t i e s > 
</file>

<file path=customXml/itemProps1.xml><?xml version="1.0" encoding="utf-8"?>
<ds:datastoreItem xmlns:ds="http://schemas.openxmlformats.org/officeDocument/2006/customXml" ds:itemID="{4EB31EAE-84C1-4470-A888-31CEBA7A6CCC}">
  <ds:schemaRefs>
    <ds:schemaRef ds:uri="http://schemas.openxmlformats.org/officeDocument/2006/bibliography"/>
  </ds:schemaRefs>
</ds:datastoreItem>
</file>

<file path=customXml/itemProps2.xml><?xml version="1.0" encoding="utf-8"?>
<ds:datastoreItem xmlns:ds="http://schemas.openxmlformats.org/officeDocument/2006/customXml" ds:itemID="{CFFD87CC-4CAC-4B57-BCC8-A06AEF732A0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1927</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 Raidla</dc:creator>
  <cp:keywords/>
  <dc:description/>
  <cp:lastModifiedBy>Helen-Brigita Sillar</cp:lastModifiedBy>
  <cp:revision>3</cp:revision>
  <cp:lastPrinted>2022-06-07T10:10:00Z</cp:lastPrinted>
  <dcterms:created xsi:type="dcterms:W3CDTF">2025-05-05T06:54:00Z</dcterms:created>
  <dcterms:modified xsi:type="dcterms:W3CDTF">2025-05-05T10:39:00Z</dcterms:modified>
</cp:coreProperties>
</file>